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18" w:rsidRDefault="00CC4B30">
      <w:pPr>
        <w:rPr>
          <w:lang w:val="en-US"/>
        </w:rPr>
      </w:pPr>
      <w:proofErr w:type="spellStart"/>
      <w:r w:rsidRPr="00CC4B30">
        <w:rPr>
          <w:lang w:val="en-US"/>
        </w:rPr>
        <w:t>Euronews</w:t>
      </w:r>
      <w:proofErr w:type="spellEnd"/>
      <w:r w:rsidRPr="00CC4B30">
        <w:rPr>
          <w:lang w:val="en-US"/>
        </w:rPr>
        <w:t xml:space="preserve"> - </w:t>
      </w:r>
      <w:hyperlink r:id="rId5" w:history="1">
        <w:r w:rsidRPr="00F83E82">
          <w:rPr>
            <w:rStyle w:val="Lienhypertexte"/>
            <w:lang w:val="en-US"/>
          </w:rPr>
          <w:t>https://www.youtube.com/watch?v=3c_j9Ogdh_I</w:t>
        </w:r>
      </w:hyperlink>
    </w:p>
    <w:p w:rsidR="00CC4B30" w:rsidRDefault="00CC4B30" w:rsidP="00CC4B3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kern w:val="36"/>
          <w:szCs w:val="48"/>
          <w:u w:val="single"/>
          <w:lang w:val="en-US" w:eastAsia="fr-FR"/>
        </w:rPr>
      </w:pPr>
      <w:r w:rsidRPr="00CC4B30">
        <w:rPr>
          <w:rFonts w:eastAsia="Times New Roman" w:cs="Arial"/>
          <w:b/>
          <w:kern w:val="36"/>
          <w:szCs w:val="48"/>
          <w:u w:val="single"/>
          <w:lang w:val="en-US" w:eastAsia="fr-FR"/>
        </w:rPr>
        <w:t>Influx in Britons applying for German passports post-</w:t>
      </w:r>
      <w:proofErr w:type="spellStart"/>
      <w:r w:rsidRPr="00CC4B30">
        <w:rPr>
          <w:rFonts w:eastAsia="Times New Roman" w:cs="Arial"/>
          <w:b/>
          <w:kern w:val="36"/>
          <w:szCs w:val="48"/>
          <w:u w:val="single"/>
          <w:lang w:val="en-US" w:eastAsia="fr-FR"/>
        </w:rPr>
        <w:t>Brexit</w:t>
      </w:r>
      <w:proofErr w:type="spellEnd"/>
    </w:p>
    <w:p w:rsidR="00CC4B30" w:rsidRDefault="00CC4B30" w:rsidP="00CC4B30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kern w:val="36"/>
          <w:szCs w:val="48"/>
          <w:lang w:val="en-US" w:eastAsia="fr-FR"/>
        </w:rPr>
      </w:pPr>
    </w:p>
    <w:p w:rsidR="00CC4B30" w:rsidRDefault="00CC4B30" w:rsidP="00D3352A">
      <w:pPr>
        <w:shd w:val="clear" w:color="auto" w:fill="FFFFFF"/>
        <w:spacing w:after="0" w:line="360" w:lineRule="auto"/>
        <w:jc w:val="both"/>
        <w:outlineLvl w:val="0"/>
        <w:rPr>
          <w:rFonts w:eastAsia="Times New Roman" w:cs="Arial"/>
          <w:kern w:val="36"/>
          <w:szCs w:val="48"/>
          <w:lang w:val="en-US" w:eastAsia="fr-FR"/>
        </w:rPr>
      </w:pPr>
    </w:p>
    <w:p w:rsidR="00CC4B30" w:rsidRPr="00CC4B30" w:rsidRDefault="00CC4B30" w:rsidP="00D3352A">
      <w:pPr>
        <w:shd w:val="clear" w:color="auto" w:fill="FFFFFF"/>
        <w:spacing w:after="0" w:line="360" w:lineRule="auto"/>
        <w:jc w:val="both"/>
        <w:outlineLvl w:val="0"/>
        <w:rPr>
          <w:rFonts w:eastAsia="Times New Roman" w:cs="Arial"/>
          <w:kern w:val="36"/>
          <w:lang w:val="en-US" w:eastAsia="fr-FR"/>
        </w:rPr>
      </w:pPr>
      <w:r w:rsidRPr="00CC4B30">
        <w:rPr>
          <w:rFonts w:cs="Arial"/>
          <w:color w:val="0A0A0A"/>
          <w:shd w:val="clear" w:color="auto" w:fill="FFFFFF"/>
          <w:lang w:val="en-US"/>
        </w:rPr>
        <w:t xml:space="preserve">The knock-on effect of </w:t>
      </w:r>
      <w:proofErr w:type="spellStart"/>
      <w:r w:rsidRPr="00CC4B30">
        <w:rPr>
          <w:rFonts w:cs="Arial"/>
          <w:color w:val="0A0A0A"/>
          <w:shd w:val="clear" w:color="auto" w:fill="FFFFFF"/>
          <w:lang w:val="en-US"/>
        </w:rPr>
        <w:t>Brexit</w:t>
      </w:r>
      <w:proofErr w:type="spellEnd"/>
      <w:r w:rsidRPr="00CC4B30">
        <w:rPr>
          <w:rFonts w:cs="Arial"/>
          <w:color w:val="0A0A0A"/>
          <w:shd w:val="clear" w:color="auto" w:fill="FFFFFF"/>
          <w:lang w:val="en-US"/>
        </w:rPr>
        <w:t xml:space="preserve"> has taken a turn in what would have been an unthinkable direction 80 years ago. Hundreds of Britons - many Jewish - have inquired about obtaining a German passport, according to the embassy in London. At least 100 have progressed into formal applications and that figure is expected to rise, officials say.</w:t>
      </w:r>
    </w:p>
    <w:p w:rsidR="00CC4B30" w:rsidRDefault="00CC4B30" w:rsidP="00D3352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“Following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 xml:space="preserve">, I realized that there was going to be a real loss, it was likely that me and my family would be unable to work and live in 27 countries in Europe and given the fact that I wouldn’t give up my British passport, I didn’t have to live in Germany by necessity or learn German or speak German, it didn’t seem </w:t>
      </w:r>
      <w:r w:rsidR="00E10225">
        <w:rPr>
          <w:lang w:val="en-US"/>
        </w:rPr>
        <w:t>that there was anything to lose, so, for me, it was much less about saying good-bye to Briton but more like say hello to Europe.”</w:t>
      </w:r>
    </w:p>
    <w:p w:rsidR="00E10225" w:rsidRDefault="00E10225" w:rsidP="00D3352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 German legal provision known as article 116 means several thousand British former victims of the Nazi era and their descendants are eligible to apply for </w:t>
      </w:r>
      <w:r w:rsidR="00D3352A">
        <w:rPr>
          <w:lang w:val="en-US"/>
        </w:rPr>
        <w:t>German</w:t>
      </w:r>
      <w:r>
        <w:rPr>
          <w:lang w:val="en-US"/>
        </w:rPr>
        <w:t xml:space="preserve"> citizenship. </w:t>
      </w:r>
    </w:p>
    <w:p w:rsidR="00E10225" w:rsidRDefault="00E10225" w:rsidP="00D3352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“I got many motivations to want to get German citizenship, I mean, I am thinking a lot about my child, I want him to have the same advantages in life as I had, you know, to be able to play on a European field. I’ve worked all over Europe in my life, I love Berlin, I could imagine living there, perhaps that will happen in the future, I just wanted to take like a firm stand, a document, something etched in acid on a stone </w:t>
      </w:r>
      <w:r w:rsidR="00D3352A">
        <w:rPr>
          <w:lang w:val="en-US"/>
        </w:rPr>
        <w:t>, you know, that I</w:t>
      </w:r>
      <w:r>
        <w:rPr>
          <w:lang w:val="en-US"/>
        </w:rPr>
        <w:t xml:space="preserve"> object to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>.”</w:t>
      </w:r>
    </w:p>
    <w:p w:rsidR="00E10225" w:rsidRDefault="00E10225" w:rsidP="00D3352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The Association of Jewish </w:t>
      </w:r>
      <w:proofErr w:type="gramStart"/>
      <w:r>
        <w:rPr>
          <w:lang w:val="en-US"/>
        </w:rPr>
        <w:t>refugees</w:t>
      </w:r>
      <w:proofErr w:type="gramEnd"/>
      <w:r>
        <w:rPr>
          <w:lang w:val="en-US"/>
        </w:rPr>
        <w:t xml:space="preserve"> estimates 70,000 people fled to Briton because of Nazi oppressi</w:t>
      </w:r>
      <w:r w:rsidR="00D3352A">
        <w:rPr>
          <w:lang w:val="en-US"/>
        </w:rPr>
        <w:t xml:space="preserve">on; of </w:t>
      </w:r>
      <w:r>
        <w:rPr>
          <w:lang w:val="en-US"/>
        </w:rPr>
        <w:t xml:space="preserve">those </w:t>
      </w:r>
      <w:r w:rsidR="00D3352A">
        <w:rPr>
          <w:lang w:val="en-US"/>
        </w:rPr>
        <w:t xml:space="preserve">around </w:t>
      </w:r>
      <w:r>
        <w:rPr>
          <w:lang w:val="en-US"/>
        </w:rPr>
        <w:t xml:space="preserve">5,000 are thought to still be alive. </w:t>
      </w:r>
    </w:p>
    <w:p w:rsidR="00470995" w:rsidRDefault="00470995">
      <w:pPr>
        <w:rPr>
          <w:lang w:val="en-US"/>
        </w:rPr>
      </w:pPr>
      <w:r>
        <w:rPr>
          <w:lang w:val="en-US"/>
        </w:rPr>
        <w:br w:type="page"/>
      </w:r>
    </w:p>
    <w:p w:rsidR="00D3352A" w:rsidRDefault="00D3352A" w:rsidP="00D3352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Grille </w:t>
      </w:r>
      <w:proofErr w:type="spellStart"/>
      <w:proofErr w:type="gramStart"/>
      <w:r>
        <w:rPr>
          <w:lang w:val="en-US"/>
        </w:rPr>
        <w:t>d’évaluation</w:t>
      </w:r>
      <w:proofErr w:type="spellEnd"/>
      <w:r>
        <w:rPr>
          <w:lang w:val="en-US"/>
        </w:rPr>
        <w:t xml:space="preserve"> :</w:t>
      </w:r>
      <w:proofErr w:type="gramEnd"/>
    </w:p>
    <w:tbl>
      <w:tblPr>
        <w:tblW w:w="5000" w:type="pct"/>
        <w:tblLook w:val="0000"/>
      </w:tblPr>
      <w:tblGrid>
        <w:gridCol w:w="3444"/>
        <w:gridCol w:w="6657"/>
        <w:gridCol w:w="581"/>
      </w:tblGrid>
      <w:tr w:rsidR="00D3352A" w:rsidTr="00D3352A">
        <w:trPr>
          <w:gridAfter w:val="2"/>
          <w:wAfter w:w="3388" w:type="pct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2A" w:rsidRDefault="00D3352A" w:rsidP="00457A27">
            <w:pPr>
              <w:spacing w:after="0" w:line="100" w:lineRule="atLeast"/>
              <w:jc w:val="center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GRADING SCHEME</w:t>
            </w:r>
          </w:p>
        </w:tc>
      </w:tr>
      <w:tr w:rsidR="00D3352A" w:rsidTr="00D3352A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/>
            </w:tblPr>
            <w:tblGrid>
              <w:gridCol w:w="3228"/>
            </w:tblGrid>
            <w:tr w:rsidR="00D3352A" w:rsidRPr="00D600E3" w:rsidTr="00D3352A">
              <w:trPr>
                <w:trHeight w:val="437"/>
              </w:trPr>
              <w:tc>
                <w:tcPr>
                  <w:tcW w:w="3246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012"/>
                  </w:tblGrid>
                  <w:tr w:rsidR="00D3352A" w:rsidRPr="00D600E3" w:rsidTr="00D3352A">
                    <w:trPr>
                      <w:trHeight w:val="501"/>
                    </w:trPr>
                    <w:tc>
                      <w:tcPr>
                        <w:tcW w:w="3030" w:type="dxa"/>
                        <w:shd w:val="clear" w:color="auto" w:fill="auto"/>
                      </w:tcPr>
                      <w:p w:rsidR="00D3352A" w:rsidRPr="00F12351" w:rsidRDefault="00D3352A" w:rsidP="00457A27">
                        <w:pPr>
                          <w:spacing w:after="0" w:line="100" w:lineRule="atLeast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Le candidat n'a pas compris le document. Il n'en a repéré que des éléments isolés et n’est parvenu à en identifier ni le thème ni les interlocuteurs </w:t>
                        </w:r>
                      </w:p>
                    </w:tc>
                  </w:tr>
                </w:tbl>
                <w:p w:rsidR="00D3352A" w:rsidRDefault="00D3352A" w:rsidP="00457A27">
                  <w:pPr>
                    <w:pStyle w:val="Default"/>
                    <w:jc w:val="both"/>
                    <w:rPr>
                      <w:rFonts w:ascii="Calibri" w:hAnsi="Calibri" w:cs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3352A" w:rsidRDefault="00D3352A" w:rsidP="00457A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2A" w:rsidRDefault="00D3352A" w:rsidP="00D3352A">
            <w:pPr>
              <w:spacing w:after="0" w:line="100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</w:t>
            </w:r>
            <w:r w:rsidRPr="00F1235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0608D">
              <w:rPr>
                <w:rFonts w:ascii="Calibri" w:hAnsi="Calibri" w:cs="Times New Roman"/>
                <w:sz w:val="20"/>
                <w:szCs w:val="20"/>
              </w:rPr>
              <w:t>Pas l’idée de Britanniques qui demandent à obtenir un passeport allemand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352A" w:rsidRDefault="00D3352A" w:rsidP="00457A27">
            <w:pPr>
              <w:spacing w:after="0" w:line="100" w:lineRule="atLeast"/>
              <w:jc w:val="right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/2</w:t>
            </w:r>
          </w:p>
        </w:tc>
      </w:tr>
      <w:tr w:rsidR="00D3352A" w:rsidTr="00D3352A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/>
            </w:tblPr>
            <w:tblGrid>
              <w:gridCol w:w="3228"/>
            </w:tblGrid>
            <w:tr w:rsidR="00D3352A" w:rsidRPr="00D600E3" w:rsidTr="00D3352A">
              <w:trPr>
                <w:trHeight w:val="784"/>
              </w:trPr>
              <w:tc>
                <w:tcPr>
                  <w:tcW w:w="3246" w:type="dxa"/>
                  <w:shd w:val="clear" w:color="auto" w:fill="auto"/>
                </w:tcPr>
                <w:p w:rsidR="00D3352A" w:rsidRDefault="00D3352A" w:rsidP="00457A27">
                  <w:pPr>
                    <w:spacing w:after="0" w:line="100" w:lineRule="atLeast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color w:val="000000"/>
                      <w:sz w:val="20"/>
                      <w:szCs w:val="20"/>
                    </w:rPr>
                    <w:t>A1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012"/>
                  </w:tblGrid>
                  <w:tr w:rsidR="00D3352A" w:rsidRPr="00D600E3" w:rsidTr="00D3352A">
                    <w:trPr>
                      <w:trHeight w:val="668"/>
                    </w:trPr>
                    <w:tc>
                      <w:tcPr>
                        <w:tcW w:w="3030" w:type="dxa"/>
                        <w:shd w:val="clear" w:color="auto" w:fill="auto"/>
                      </w:tcPr>
                      <w:p w:rsidR="00D3352A" w:rsidRPr="00F12351" w:rsidRDefault="00D3352A" w:rsidP="00457A27">
                        <w:pPr>
                          <w:spacing w:after="0" w:line="100" w:lineRule="atLeast"/>
                        </w:pPr>
                        <w:r>
                          <w:rPr>
                            <w:rFonts w:ascii="Calibri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Le candidat est parvenu à relever des mots isolés et des expressions courantes qui, malgré quelques mises en relation, ne lui ont permis d’accéder qu’à une compréhension superficielle ou partielle du document </w:t>
                        </w:r>
                      </w:p>
                    </w:tc>
                  </w:tr>
                </w:tbl>
                <w:p w:rsidR="00D3352A" w:rsidRDefault="00D3352A" w:rsidP="00457A27">
                  <w:pPr>
                    <w:spacing w:after="0" w:line="100" w:lineRule="atLeas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D3352A" w:rsidRDefault="00D3352A" w:rsidP="00457A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2A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</w:p>
          <w:p w:rsidR="00950B0B" w:rsidRPr="0080608D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950B0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0608D">
              <w:rPr>
                <w:rFonts w:ascii="Calibri" w:hAnsi="Calibri" w:cs="Times New Roman"/>
                <w:sz w:val="20"/>
                <w:szCs w:val="20"/>
              </w:rPr>
              <w:t xml:space="preserve">il s’agit d’une conséquence du </w:t>
            </w:r>
            <w:proofErr w:type="spellStart"/>
            <w:r w:rsidRPr="0080608D">
              <w:rPr>
                <w:rFonts w:ascii="Calibri" w:hAnsi="Calibri" w:cs="Times New Roman"/>
                <w:sz w:val="20"/>
                <w:szCs w:val="20"/>
              </w:rPr>
              <w:t>Brexit</w:t>
            </w:r>
            <w:proofErr w:type="spellEnd"/>
          </w:p>
          <w:p w:rsidR="00D3352A" w:rsidRPr="0080608D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</w:rPr>
              <w:t xml:space="preserve">- des britanniques qui ne sont pas d’accord avec le </w:t>
            </w:r>
            <w:proofErr w:type="spellStart"/>
            <w:r w:rsidRPr="0080608D">
              <w:rPr>
                <w:rFonts w:ascii="Calibri" w:hAnsi="Calibri" w:cs="Times New Roman"/>
                <w:sz w:val="20"/>
                <w:szCs w:val="20"/>
              </w:rPr>
              <w:t>Brexit</w:t>
            </w:r>
            <w:proofErr w:type="spellEnd"/>
            <w:r w:rsidRPr="0080608D">
              <w:rPr>
                <w:rFonts w:ascii="Calibri" w:hAnsi="Calibri" w:cs="Times New Roman"/>
                <w:sz w:val="20"/>
                <w:szCs w:val="20"/>
              </w:rPr>
              <w:t xml:space="preserve"> tentent de rester en Europe</w:t>
            </w:r>
          </w:p>
          <w:p w:rsidR="00D3352A" w:rsidRPr="0080608D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</w:rPr>
              <w:t>- 3 interlocuteurs : une journaliste et 2 hommes</w:t>
            </w:r>
          </w:p>
          <w:p w:rsidR="00D3352A" w:rsidRPr="0080608D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</w:rPr>
              <w:t xml:space="preserve">- Les hommes sont Britanniques </w:t>
            </w:r>
          </w:p>
          <w:p w:rsidR="00D3352A" w:rsidRPr="0080608D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</w:rPr>
              <w:t>- ils demandent la nationalité allemande</w:t>
            </w:r>
          </w:p>
          <w:p w:rsidR="00D3352A" w:rsidRDefault="00D3352A" w:rsidP="00D3352A">
            <w:pPr>
              <w:spacing w:after="0" w:line="100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</w:rPr>
              <w:t>- ils veulent vivre et travailler en Europe dans les différents pays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352A" w:rsidRDefault="00D3352A" w:rsidP="00457A27">
            <w:pPr>
              <w:spacing w:after="0" w:line="100" w:lineRule="atLeast"/>
              <w:jc w:val="right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/6</w:t>
            </w:r>
          </w:p>
        </w:tc>
      </w:tr>
      <w:tr w:rsidR="00D3352A" w:rsidTr="00D3352A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/>
            </w:tblPr>
            <w:tblGrid>
              <w:gridCol w:w="3228"/>
            </w:tblGrid>
            <w:tr w:rsidR="00D3352A" w:rsidTr="00D3352A">
              <w:trPr>
                <w:trHeight w:val="439"/>
              </w:trPr>
              <w:tc>
                <w:tcPr>
                  <w:tcW w:w="3246" w:type="dxa"/>
                  <w:shd w:val="clear" w:color="auto" w:fill="auto"/>
                </w:tcPr>
                <w:p w:rsidR="00D3352A" w:rsidRDefault="00D3352A" w:rsidP="00457A27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  <w:lang w:val="fr-FR"/>
                    </w:rPr>
                    <w:t xml:space="preserve">A2 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012"/>
                  </w:tblGrid>
                  <w:tr w:rsidR="00D3352A" w:rsidRPr="00D600E3" w:rsidTr="00D3352A">
                    <w:trPr>
                      <w:trHeight w:val="669"/>
                    </w:trPr>
                    <w:tc>
                      <w:tcPr>
                        <w:tcW w:w="3030" w:type="dxa"/>
                        <w:shd w:val="clear" w:color="auto" w:fill="auto"/>
                      </w:tcPr>
                      <w:p w:rsidR="00D3352A" w:rsidRDefault="00D3352A" w:rsidP="00457A27">
                        <w:pPr>
                          <w:spacing w:after="0" w:line="100" w:lineRule="atLeas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Certaines informations ont été comprises mais le relevé est insuffisant et conduit à une compréhension encore lacunaire ou partielle. </w:t>
                        </w:r>
                      </w:p>
                      <w:p w:rsidR="00D3352A" w:rsidRPr="00F12351" w:rsidRDefault="00D3352A" w:rsidP="00457A27">
                        <w:pPr>
                          <w:spacing w:after="0" w:line="100" w:lineRule="atLeast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Le candidat a su identifier le thème de la discussion et la fonction ou le rôle des interlocuteurs. </w:t>
                        </w:r>
                      </w:p>
                    </w:tc>
                  </w:tr>
                </w:tbl>
                <w:p w:rsidR="00D3352A" w:rsidRDefault="00D3352A" w:rsidP="00457A27">
                  <w:pPr>
                    <w:pStyle w:val="Default"/>
                  </w:pPr>
                  <w:r>
                    <w:rPr>
                      <w:rFonts w:ascii="Calibri" w:hAnsi="Calibri" w:cs="Times New Roman"/>
                      <w:sz w:val="20"/>
                      <w:szCs w:val="20"/>
                      <w:lang w:val="fr-FR"/>
                    </w:rPr>
                    <w:t xml:space="preserve">. </w:t>
                  </w:r>
                </w:p>
              </w:tc>
            </w:tr>
          </w:tbl>
          <w:p w:rsidR="00D3352A" w:rsidRDefault="00D3352A" w:rsidP="00457A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8D" w:rsidRPr="0080608D" w:rsidRDefault="0080608D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A1 + : </w:t>
            </w:r>
          </w:p>
          <w:p w:rsidR="00D3352A" w:rsidRDefault="00D3352A" w:rsidP="00457A27">
            <w:pPr>
              <w:spacing w:after="0" w:line="100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tous les Britanniques ne peuvent pas faire la demande, cela concerne un petit nombre </w:t>
            </w:r>
          </w:p>
          <w:p w:rsidR="00D3352A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Il s’agit de Britanniques d’origine juive </w:t>
            </w:r>
          </w:p>
          <w:p w:rsidR="00D3352A" w:rsidRPr="0080608D" w:rsidRDefault="00D3352A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80608D">
              <w:rPr>
                <w:rFonts w:ascii="Calibri" w:hAnsi="Calibri" w:cs="Times New Roman"/>
                <w:sz w:val="20"/>
                <w:szCs w:val="20"/>
              </w:rPr>
              <w:t>eux ou leurs ancêtres ont dû quitter l’Allemagne à cause du régime Nazi</w:t>
            </w:r>
          </w:p>
          <w:p w:rsidR="00D3352A" w:rsidRDefault="00D3352A" w:rsidP="00D3352A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</w:rPr>
              <w:t>- il y a une loi allemande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qui leur permet de faire la demande de nationalité</w:t>
            </w:r>
          </w:p>
          <w:p w:rsidR="0080608D" w:rsidRDefault="0080608D" w:rsidP="00D3352A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les deux hommes qui témoignent pensent à leurs enfants et veulent leur donner les mêmes chances et la possibilité de vivre et travailler dans les 27 pays de l’Union Européenne</w:t>
            </w:r>
          </w:p>
          <w:p w:rsidR="0080608D" w:rsidRPr="0080608D" w:rsidRDefault="0080608D" w:rsidP="00D3352A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un d’entre eux a déjà travaillé partout en Europe et n’exclut pas l’idée de s’installer à Berlin </w:t>
            </w:r>
          </w:p>
          <w:p w:rsidR="00D3352A" w:rsidRDefault="00D3352A" w:rsidP="00457A27">
            <w:pPr>
              <w:spacing w:after="0" w:line="100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352A" w:rsidRDefault="00D3352A" w:rsidP="00457A27">
            <w:pPr>
              <w:spacing w:after="0" w:line="100" w:lineRule="atLeast"/>
              <w:jc w:val="right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/10</w:t>
            </w:r>
          </w:p>
        </w:tc>
      </w:tr>
      <w:tr w:rsidR="00D3352A" w:rsidTr="00D3352A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/>
            </w:tblPr>
            <w:tblGrid>
              <w:gridCol w:w="3228"/>
            </w:tblGrid>
            <w:tr w:rsidR="00D3352A" w:rsidTr="00D3352A">
              <w:trPr>
                <w:trHeight w:val="440"/>
              </w:trPr>
              <w:tc>
                <w:tcPr>
                  <w:tcW w:w="3246" w:type="dxa"/>
                  <w:shd w:val="clear" w:color="auto" w:fill="auto"/>
                </w:tcPr>
                <w:p w:rsidR="00D3352A" w:rsidRDefault="00D3352A" w:rsidP="00457A27">
                  <w:pPr>
                    <w:spacing w:after="0" w:line="100" w:lineRule="atLeast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B1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012"/>
                  </w:tblGrid>
                  <w:tr w:rsidR="00D3352A" w:rsidTr="00D3352A">
                    <w:trPr>
                      <w:trHeight w:val="439"/>
                    </w:trPr>
                    <w:tc>
                      <w:tcPr>
                        <w:tcW w:w="3030" w:type="dxa"/>
                        <w:shd w:val="clear" w:color="auto" w:fill="auto"/>
                      </w:tcPr>
                      <w:p w:rsidR="00D3352A" w:rsidRPr="00F12351" w:rsidRDefault="00D3352A" w:rsidP="00457A27">
                        <w:pPr>
                          <w:spacing w:after="0" w:line="100" w:lineRule="atLeast"/>
                          <w:rPr>
                            <w:rFonts w:ascii="Calibri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Le candidat a su relever les points principaux de la discussion (contexte, objet, interlocuteurs et, éventuellement, conclusion de l’échange). </w:t>
                        </w:r>
                      </w:p>
                      <w:p w:rsidR="00D3352A" w:rsidRDefault="00D3352A" w:rsidP="00457A27">
                        <w:pPr>
                          <w:spacing w:after="0" w:line="100" w:lineRule="atLeast"/>
                        </w:pPr>
                        <w:r>
                          <w:rPr>
                            <w:rFonts w:ascii="Calibri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Compréhension satisfaisante. </w:t>
                        </w:r>
                      </w:p>
                    </w:tc>
                  </w:tr>
                </w:tbl>
                <w:p w:rsidR="00D3352A" w:rsidRDefault="00D3352A" w:rsidP="00457A27">
                  <w:pPr>
                    <w:spacing w:after="0" w:line="100" w:lineRule="atLeas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D3352A" w:rsidRDefault="00D3352A" w:rsidP="00457A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8D" w:rsidRPr="0080608D" w:rsidRDefault="0080608D" w:rsidP="0080608D">
            <w:pPr>
              <w:pStyle w:val="Paragraphedeliste"/>
              <w:spacing w:after="0" w:line="100" w:lineRule="atLeast"/>
              <w:ind w:left="360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80608D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A2 + : </w:t>
            </w:r>
          </w:p>
          <w:p w:rsidR="0080608D" w:rsidRDefault="0080608D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Selon l’ambassade de Londres, des centaines de Britanniques, la plupart d’origine juive, on fait la demande. </w:t>
            </w:r>
          </w:p>
          <w:p w:rsidR="0080608D" w:rsidRDefault="0080608D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Il y a au moins 100 qui ont fait déjà toutes les démarches légales et les chiffres sont en hausse.</w:t>
            </w:r>
          </w:p>
          <w:p w:rsidR="0080608D" w:rsidRDefault="0080608D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Pour obtenir le passeport allemand, les britanniques ne sont pas obligé d’abandonner leur nationalité et leur passeport britannique, ils ne sont pas obligé</w:t>
            </w:r>
            <w:r w:rsidR="00950B0B"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de vivre en Allemagne ou parler allemand, donc, ils n’ont rien à perdre.</w:t>
            </w:r>
          </w:p>
          <w:p w:rsidR="0080608D" w:rsidRDefault="0080608D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 qui permet ces démarches est une loi allemande, intitulée « article 116 »</w:t>
            </w:r>
          </w:p>
          <w:p w:rsidR="0080608D" w:rsidRPr="0080608D" w:rsidRDefault="0080608D" w:rsidP="0080608D">
            <w:pPr>
              <w:pStyle w:val="Paragraphedeliste"/>
              <w:spacing w:after="0" w:line="100" w:lineRule="atLeast"/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352A" w:rsidRDefault="00D3352A" w:rsidP="00457A27">
            <w:pPr>
              <w:spacing w:after="0" w:line="100" w:lineRule="atLeast"/>
              <w:jc w:val="right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/16</w:t>
            </w:r>
          </w:p>
        </w:tc>
      </w:tr>
      <w:tr w:rsidR="00D3352A" w:rsidTr="00D3352A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2A" w:rsidRPr="0080608D" w:rsidRDefault="00D3352A" w:rsidP="00457A27">
            <w:pPr>
              <w:pStyle w:val="Default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Look w:val="0000"/>
            </w:tblPr>
            <w:tblGrid>
              <w:gridCol w:w="3228"/>
            </w:tblGrid>
            <w:tr w:rsidR="00D3352A" w:rsidTr="00D3352A">
              <w:trPr>
                <w:trHeight w:val="783"/>
              </w:trPr>
              <w:tc>
                <w:tcPr>
                  <w:tcW w:w="3246" w:type="dxa"/>
                  <w:shd w:val="clear" w:color="auto" w:fill="auto"/>
                </w:tcPr>
                <w:p w:rsidR="00D3352A" w:rsidRDefault="00D3352A" w:rsidP="00457A27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  <w:lang w:val="fr-FR"/>
                    </w:rPr>
                    <w:t xml:space="preserve">B2 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012"/>
                  </w:tblGrid>
                  <w:tr w:rsidR="00D3352A" w:rsidTr="00D3352A">
                    <w:trPr>
                      <w:trHeight w:val="554"/>
                    </w:trPr>
                    <w:tc>
                      <w:tcPr>
                        <w:tcW w:w="3030" w:type="dxa"/>
                        <w:shd w:val="clear" w:color="auto" w:fill="auto"/>
                      </w:tcPr>
                      <w:p w:rsidR="00D3352A" w:rsidRPr="00F12351" w:rsidRDefault="00D3352A" w:rsidP="00457A27">
                        <w:pPr>
                          <w:spacing w:after="0" w:line="100" w:lineRule="atLeas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Le candidat a saisi et relevé un nombre suffisant de détails significatifs (relations entre les interlocuteurs, tenants et aboutissants, attitude des locuteurs, ton, humour, points de vue, etc.). </w:t>
                        </w:r>
                      </w:p>
                      <w:p w:rsidR="00D3352A" w:rsidRDefault="00D3352A" w:rsidP="00457A27">
                        <w:pPr>
                          <w:spacing w:after="0" w:line="100" w:lineRule="atLeast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Compréhension fine. </w:t>
                        </w:r>
                      </w:p>
                    </w:tc>
                  </w:tr>
                </w:tbl>
                <w:p w:rsidR="00D3352A" w:rsidRDefault="00D3352A" w:rsidP="00457A27">
                  <w:pPr>
                    <w:pStyle w:val="Default"/>
                    <w:jc w:val="both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D3352A" w:rsidRDefault="00D3352A" w:rsidP="00457A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2A" w:rsidRDefault="0080608D" w:rsidP="00457A27">
            <w:p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B1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+ </w:t>
            </w:r>
            <w:r w:rsidR="00D3352A">
              <w:rPr>
                <w:rFonts w:ascii="Calibri" w:hAnsi="Calibri" w:cs="Times New Roman"/>
                <w:sz w:val="20"/>
                <w:szCs w:val="20"/>
                <w:u w:val="single"/>
              </w:rPr>
              <w:t> :</w:t>
            </w:r>
            <w:proofErr w:type="gramEnd"/>
          </w:p>
          <w:p w:rsidR="0080608D" w:rsidRDefault="0080608D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Compte tenu du contexte historique d’il y a 80 ans, la demande de descendants juifs d’acquérir la nationalité allemande peut paraître surprenante</w:t>
            </w:r>
          </w:p>
          <w:p w:rsidR="00950B0B" w:rsidRDefault="00950B0B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L’article 116 donne le droit à des milliers de britanniques, anciennes victimes du régime nazi ainsi qu’à leurs descendants, de demander la nationalité allemande.</w:t>
            </w:r>
          </w:p>
          <w:p w:rsidR="00950B0B" w:rsidRDefault="00950B0B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Un des hommes interviewés voulait marquer son opposition au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Brexit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(graver dans le marbre, avoir un document)</w:t>
            </w:r>
          </w:p>
          <w:p w:rsidR="00950B0B" w:rsidRDefault="00950B0B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L’association des réfugiés juifs estiment que 70.000 personnes ont fui le régime nazi et que parmi eux, 5.000 sont encore en vie. </w:t>
            </w:r>
          </w:p>
          <w:p w:rsidR="0080608D" w:rsidRPr="00950B0B" w:rsidRDefault="00950B0B" w:rsidP="0080608D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0B0B">
              <w:rPr>
                <w:rFonts w:ascii="Calibri" w:hAnsi="Calibri" w:cs="Times New Roman"/>
                <w:sz w:val="20"/>
                <w:szCs w:val="20"/>
              </w:rPr>
              <w:t>Le ton de la journaliste est neutre mais les témoignages sont une prise de position contre le Brexit.</w:t>
            </w:r>
          </w:p>
          <w:p w:rsidR="00D3352A" w:rsidRDefault="00D3352A" w:rsidP="00457A27">
            <w:pPr>
              <w:spacing w:after="0" w:line="100" w:lineRule="atLeast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352A" w:rsidRDefault="00D3352A" w:rsidP="00457A27">
            <w:pPr>
              <w:spacing w:after="0" w:line="100" w:lineRule="atLeast"/>
              <w:jc w:val="right"/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/20</w:t>
            </w:r>
          </w:p>
        </w:tc>
      </w:tr>
    </w:tbl>
    <w:p w:rsidR="00D3352A" w:rsidRPr="00CC4B30" w:rsidRDefault="00D3352A" w:rsidP="00D3352A">
      <w:pPr>
        <w:spacing w:after="0" w:line="360" w:lineRule="auto"/>
        <w:jc w:val="both"/>
        <w:rPr>
          <w:lang w:val="en-US"/>
        </w:rPr>
      </w:pPr>
    </w:p>
    <w:sectPr w:rsidR="00D3352A" w:rsidRPr="00CC4B30" w:rsidSect="00470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C57"/>
    <w:multiLevelType w:val="hybridMultilevel"/>
    <w:tmpl w:val="F63E2EE8"/>
    <w:lvl w:ilvl="0" w:tplc="F1841F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03C"/>
    <w:multiLevelType w:val="hybridMultilevel"/>
    <w:tmpl w:val="FE32582A"/>
    <w:lvl w:ilvl="0" w:tplc="792863FA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F4616"/>
    <w:multiLevelType w:val="hybridMultilevel"/>
    <w:tmpl w:val="068ED6B2"/>
    <w:lvl w:ilvl="0" w:tplc="1A941D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B30"/>
    <w:rsid w:val="00321518"/>
    <w:rsid w:val="00470995"/>
    <w:rsid w:val="0080608D"/>
    <w:rsid w:val="00950B0B"/>
    <w:rsid w:val="00AE309D"/>
    <w:rsid w:val="00CC4B30"/>
    <w:rsid w:val="00D3352A"/>
    <w:rsid w:val="00E10225"/>
    <w:rsid w:val="00E4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8"/>
  </w:style>
  <w:style w:type="paragraph" w:styleId="Titre1">
    <w:name w:val="heading 1"/>
    <w:basedOn w:val="Normal"/>
    <w:link w:val="Titre1Car"/>
    <w:uiPriority w:val="9"/>
    <w:qFormat/>
    <w:rsid w:val="00CC4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B3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B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D3352A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80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c_j9Ogdh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de communication</dc:creator>
  <cp:lastModifiedBy>Yvan BAPTISTE</cp:lastModifiedBy>
  <cp:revision>3</cp:revision>
  <dcterms:created xsi:type="dcterms:W3CDTF">2018-12-10T08:16:00Z</dcterms:created>
  <dcterms:modified xsi:type="dcterms:W3CDTF">2018-12-10T18:33:00Z</dcterms:modified>
</cp:coreProperties>
</file>