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0" w:rsidRDefault="00891550" w:rsidP="00891550">
      <w:pPr>
        <w:jc w:val="center"/>
      </w:pPr>
      <w:r w:rsidRPr="00151947">
        <w:t xml:space="preserve">Compréhension </w:t>
      </w:r>
      <w:r w:rsidR="00CE31CB">
        <w:t>orale</w:t>
      </w:r>
    </w:p>
    <w:p w:rsidR="00891550" w:rsidRDefault="00891550" w:rsidP="0089155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Titre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shd w:val="clear" w:color="auto" w:fill="D9D9D9" w:themeFill="background1" w:themeFillShade="D9"/>
            <w:vAlign w:val="center"/>
          </w:tcPr>
          <w:p w:rsidR="00891550" w:rsidRPr="00891550" w:rsidRDefault="00883CC0" w:rsidP="00883CC0">
            <w:pPr>
              <w:jc w:val="center"/>
              <w:rPr>
                <w:b/>
              </w:rPr>
            </w:pPr>
            <w:r>
              <w:rPr>
                <w:b/>
              </w:rPr>
              <w:t xml:space="preserve">UK PLANS HUGE </w:t>
            </w:r>
            <w:r w:rsidRPr="00883CC0">
              <w:rPr>
                <w:b/>
                <w:u w:val="single"/>
              </w:rPr>
              <w:t>WIND FARM</w:t>
            </w:r>
            <w:r>
              <w:rPr>
                <w:b/>
              </w:rPr>
              <w:t xml:space="preserve"> PROGRAMME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Durée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91550" w:rsidRDefault="00891550" w:rsidP="00B64473">
            <w:pPr>
              <w:jc w:val="center"/>
            </w:pPr>
            <w:r>
              <w:t>1min</w:t>
            </w:r>
            <w:r w:rsidR="00B64473">
              <w:t>23</w:t>
            </w:r>
            <w:r>
              <w:t>s</w:t>
            </w: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Source</w:t>
            </w:r>
          </w:p>
          <w:p w:rsidR="00891550" w:rsidRPr="00891550" w:rsidRDefault="00891550" w:rsidP="00520D9C">
            <w:pPr>
              <w:rPr>
                <w:b/>
              </w:rPr>
            </w:pPr>
          </w:p>
        </w:tc>
        <w:tc>
          <w:tcPr>
            <w:tcW w:w="7686" w:type="dxa"/>
            <w:vAlign w:val="center"/>
          </w:tcPr>
          <w:p w:rsidR="00883CC0" w:rsidRDefault="00883CC0" w:rsidP="00883CC0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color w:val="000077"/>
                <w:lang w:eastAsia="fr-FR"/>
              </w:rPr>
            </w:pPr>
          </w:p>
          <w:p w:rsidR="00883CC0" w:rsidRPr="00883CC0" w:rsidRDefault="00A65C50" w:rsidP="00883CC0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color w:val="000077"/>
                <w:lang w:eastAsia="fr-FR"/>
              </w:rPr>
            </w:pPr>
            <w:hyperlink r:id="rId6" w:history="1">
              <w:r w:rsidR="00883CC0" w:rsidRPr="00883CC0">
                <w:rPr>
                  <w:rStyle w:val="Lienhypertexte"/>
                  <w:rFonts w:eastAsia="Times New Roman" w:cs="Times New Roman"/>
                  <w:bCs/>
                  <w:lang w:eastAsia="fr-FR"/>
                </w:rPr>
                <w:t>http://www.breakingnewsenglish.com/0712/071211-wind_farms.html</w:t>
              </w:r>
            </w:hyperlink>
          </w:p>
          <w:p w:rsidR="00891550" w:rsidRDefault="00891550" w:rsidP="00520D9C">
            <w:pPr>
              <w:jc w:val="center"/>
            </w:pPr>
          </w:p>
        </w:tc>
      </w:tr>
      <w:tr w:rsidR="00891550" w:rsidTr="00520D9C">
        <w:tc>
          <w:tcPr>
            <w:tcW w:w="1526" w:type="dxa"/>
          </w:tcPr>
          <w:p w:rsidR="00891550" w:rsidRPr="00891550" w:rsidRDefault="00891550" w:rsidP="00520D9C">
            <w:pPr>
              <w:rPr>
                <w:b/>
              </w:rPr>
            </w:pPr>
          </w:p>
          <w:p w:rsidR="00891550" w:rsidRPr="00891550" w:rsidRDefault="00891550" w:rsidP="00520D9C">
            <w:pPr>
              <w:rPr>
                <w:b/>
              </w:rPr>
            </w:pPr>
            <w:r w:rsidRPr="00891550">
              <w:rPr>
                <w:b/>
              </w:rPr>
              <w:t>Transcription </w:t>
            </w:r>
          </w:p>
        </w:tc>
        <w:tc>
          <w:tcPr>
            <w:tcW w:w="7686" w:type="dxa"/>
          </w:tcPr>
          <w:p w:rsidR="00F40EFE" w:rsidRDefault="00F40EFE" w:rsidP="00F40EFE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  <w:p w:rsidR="00F40EFE" w:rsidRDefault="00F40EFE" w:rsidP="00F40EFE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fr-FR"/>
              </w:rPr>
            </w:pPr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The British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government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has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unveiled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plans to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make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country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world’s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leader in the use of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farms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. It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announced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an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ambitious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project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to power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entire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country’s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homes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using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.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Politicians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hope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that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farms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provide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20 percent of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Britain’s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total power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needs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by 2020. To do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this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, power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companies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need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to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build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7,000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gram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turbines</w:t>
            </w:r>
            <w:proofErr w:type="gram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all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around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British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coastline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. This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greatly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change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coastal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views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which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many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nature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lovers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unhappy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about. There are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also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fears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that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farms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may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disrupt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shipping,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wildlife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and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fishing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industry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.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Meanwhile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, consumer groups are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concerned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over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fact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that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public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have to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pay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higher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electricity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bills for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power.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government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hopes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environmental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benefits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its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idea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will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over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those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worried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about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project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>.</w:t>
            </w:r>
          </w:p>
          <w:p w:rsidR="00891550" w:rsidRPr="00F40EFE" w:rsidRDefault="00F40EFE" w:rsidP="00F40EFE">
            <w:pPr>
              <w:shd w:val="clear" w:color="auto" w:fill="FFFFFF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fr-FR"/>
              </w:rPr>
            </w:pP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Britain’s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Business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Secretary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John Hutton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outlined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his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vision of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greatly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increasing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the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amount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of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renewable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energy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. He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said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: "The UK has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some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of the best offshore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wind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resources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in the world. [It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also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has] a long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history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of design, installation and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operational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 xml:space="preserve"> expertise in the offshore </w:t>
            </w:r>
            <w:proofErr w:type="spellStart"/>
            <w:r w:rsidRPr="00F40EFE">
              <w:rPr>
                <w:rFonts w:eastAsia="Times New Roman" w:cs="Times New Roman"/>
                <w:color w:val="000000"/>
                <w:lang w:eastAsia="fr-FR"/>
              </w:rPr>
              <w:t>environment</w:t>
            </w:r>
            <w:proofErr w:type="spellEnd"/>
            <w:r w:rsidRPr="00F40EFE">
              <w:rPr>
                <w:rFonts w:eastAsia="Times New Roman" w:cs="Times New Roman"/>
                <w:color w:val="000000"/>
                <w:lang w:eastAsia="fr-FR"/>
              </w:rPr>
              <w:t>.” </w:t>
            </w:r>
          </w:p>
        </w:tc>
      </w:tr>
    </w:tbl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F40EFE" w:rsidRDefault="00F40EFE" w:rsidP="002E3CCB">
      <w:pPr>
        <w:jc w:val="center"/>
      </w:pPr>
    </w:p>
    <w:p w:rsidR="00F40EFE" w:rsidRDefault="00F40EFE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891550" w:rsidRDefault="00891550" w:rsidP="002E3CCB">
      <w:pPr>
        <w:jc w:val="center"/>
      </w:pPr>
    </w:p>
    <w:p w:rsidR="009E22BF" w:rsidRPr="00151947" w:rsidRDefault="002E3CCB" w:rsidP="002E3CCB">
      <w:pPr>
        <w:jc w:val="center"/>
      </w:pPr>
      <w:r w:rsidRPr="00151947">
        <w:lastRenderedPageBreak/>
        <w:t xml:space="preserve">Compréhension </w:t>
      </w:r>
      <w:r w:rsidR="00CE31CB">
        <w:t>orale</w:t>
      </w:r>
      <w:r w:rsidRPr="00151947">
        <w:t> : Critères et grille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49"/>
      </w:tblGrid>
      <w:tr w:rsidR="002E3CCB" w:rsidTr="0066682C"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:rsidR="002E3CCB" w:rsidRDefault="00883CC0" w:rsidP="0066682C">
            <w:pPr>
              <w:jc w:val="center"/>
              <w:rPr>
                <w:b/>
              </w:rPr>
            </w:pPr>
            <w:r>
              <w:rPr>
                <w:b/>
              </w:rPr>
              <w:t xml:space="preserve">UK PLANS HUGE </w:t>
            </w:r>
            <w:r w:rsidRPr="00883CC0">
              <w:rPr>
                <w:b/>
                <w:u w:val="single"/>
              </w:rPr>
              <w:t>WIND FARM</w:t>
            </w:r>
            <w:r>
              <w:rPr>
                <w:b/>
              </w:rPr>
              <w:t xml:space="preserve"> PROGRAMME</w:t>
            </w:r>
          </w:p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LV1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(B2)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LV2</w:t>
            </w:r>
          </w:p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(B1)</w:t>
            </w:r>
          </w:p>
        </w:tc>
      </w:tr>
      <w:tr w:rsidR="002E3CCB" w:rsidTr="00EB2A00">
        <w:tc>
          <w:tcPr>
            <w:tcW w:w="675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Eléments isolés</w:t>
            </w:r>
          </w:p>
          <w:p w:rsidR="00EB2A00" w:rsidRP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Pas de lien</w:t>
            </w:r>
          </w:p>
          <w:p w:rsidR="00EB2A00" w:rsidRDefault="00EB2A00" w:rsidP="002E3CCB">
            <w:pPr>
              <w:rPr>
                <w:b/>
              </w:rPr>
            </w:pPr>
            <w:r w:rsidRPr="00EB2A00">
              <w:rPr>
                <w:b/>
              </w:rPr>
              <w:t>Thème ou sujet non identifié</w:t>
            </w:r>
          </w:p>
          <w:p w:rsidR="0066682C" w:rsidRPr="002E3CCB" w:rsidRDefault="0066682C" w:rsidP="002E3CCB"/>
        </w:tc>
        <w:tc>
          <w:tcPr>
            <w:tcW w:w="155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</w:t>
            </w:r>
          </w:p>
        </w:tc>
        <w:tc>
          <w:tcPr>
            <w:tcW w:w="1449" w:type="dxa"/>
            <w:vAlign w:val="center"/>
          </w:tcPr>
          <w:p w:rsidR="002E3CCB" w:rsidRDefault="002E3CCB" w:rsidP="002E3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2E3CCB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2E3CCB" w:rsidRDefault="002E3CCB" w:rsidP="00EB2A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2E3CCB" w:rsidRDefault="002E3CCB" w:rsidP="002E3CCB">
            <w:pPr>
              <w:rPr>
                <w:b/>
              </w:rPr>
            </w:pPr>
            <w:r w:rsidRPr="002E3CCB">
              <w:rPr>
                <w:b/>
              </w:rPr>
              <w:t>Amorce de compréhension</w:t>
            </w:r>
            <w:r w:rsidR="00EB2A00">
              <w:rPr>
                <w:b/>
              </w:rPr>
              <w:t xml:space="preserve"> </w:t>
            </w:r>
          </w:p>
          <w:p w:rsidR="0066682C" w:rsidRPr="00EB2A00" w:rsidRDefault="0066682C" w:rsidP="002E3CC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  <w:tc>
          <w:tcPr>
            <w:tcW w:w="1449" w:type="dxa"/>
            <w:vAlign w:val="center"/>
          </w:tcPr>
          <w:p w:rsidR="002E3CCB" w:rsidRDefault="002E3CCB" w:rsidP="00520D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2A00">
              <w:rPr>
                <w:b/>
              </w:rPr>
              <w:t xml:space="preserve"> </w:t>
            </w:r>
            <w:r>
              <w:rPr>
                <w:b/>
              </w:rPr>
              <w:t>pts</w:t>
            </w:r>
          </w:p>
        </w:tc>
      </w:tr>
      <w:tr w:rsidR="00EB2A00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:rsidR="00EB2A00" w:rsidRDefault="00EB2A00" w:rsidP="00EB2A00">
            <w:pPr>
              <w:jc w:val="center"/>
              <w:rPr>
                <w:b/>
              </w:rPr>
            </w:pPr>
          </w:p>
          <w:p w:rsidR="00EB2A00" w:rsidRDefault="00EB2A00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40EFE" w:rsidRDefault="00F40EFE" w:rsidP="00EB2A00">
            <w:pPr>
              <w:jc w:val="center"/>
              <w:rPr>
                <w:sz w:val="26"/>
                <w:szCs w:val="26"/>
              </w:rPr>
            </w:pPr>
          </w:p>
          <w:p w:rsidR="00F40EFE" w:rsidRPr="00F40EFE" w:rsidRDefault="00F40EFE" w:rsidP="00EB2A00">
            <w:pPr>
              <w:jc w:val="center"/>
              <w:rPr>
                <w:sz w:val="18"/>
                <w:szCs w:val="26"/>
              </w:rPr>
            </w:pPr>
          </w:p>
          <w:p w:rsidR="00F40EFE" w:rsidRPr="00EB2A00" w:rsidRDefault="00F40EFE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5529" w:type="dxa"/>
          </w:tcPr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pPr>
              <w:rPr>
                <w:b/>
              </w:rPr>
            </w:pPr>
            <w:r>
              <w:rPr>
                <w:b/>
              </w:rPr>
              <w:t>Relevé incomplet, lacunaire</w:t>
            </w:r>
          </w:p>
          <w:p w:rsidR="0066682C" w:rsidRDefault="0066682C" w:rsidP="002E3CCB">
            <w:pPr>
              <w:rPr>
                <w:b/>
              </w:rPr>
            </w:pPr>
          </w:p>
          <w:p w:rsidR="00EB2A00" w:rsidRDefault="00EB2A00" w:rsidP="002E3CCB">
            <w:r>
              <w:t xml:space="preserve">Thème général : </w:t>
            </w:r>
          </w:p>
          <w:p w:rsidR="00EB2A00" w:rsidRDefault="00F40EFE" w:rsidP="002E3CCB">
            <w:r>
              <w:t>Energie éolienne en Grande-Bretagne</w:t>
            </w:r>
          </w:p>
          <w:p w:rsidR="00EB2A00" w:rsidRDefault="00EB2A00" w:rsidP="002E3CCB">
            <w:pPr>
              <w:rPr>
                <w:i/>
              </w:rPr>
            </w:pPr>
          </w:p>
          <w:p w:rsidR="00EB2A00" w:rsidRDefault="00EB2A00" w:rsidP="002E3CCB">
            <w:pPr>
              <w:rPr>
                <w:i/>
              </w:rPr>
            </w:pPr>
            <w:r>
              <w:rPr>
                <w:i/>
              </w:rPr>
              <w:t>+</w:t>
            </w:r>
            <w:r w:rsidR="0066682C">
              <w:rPr>
                <w:i/>
              </w:rPr>
              <w:t xml:space="preserve"> </w:t>
            </w:r>
            <w:r>
              <w:rPr>
                <w:i/>
              </w:rPr>
              <w:t xml:space="preserve">de </w:t>
            </w:r>
            <w:r w:rsidR="00F40EFE">
              <w:rPr>
                <w:i/>
              </w:rPr>
              <w:t xml:space="preserve">2 </w:t>
            </w:r>
            <w:r>
              <w:rPr>
                <w:i/>
              </w:rPr>
              <w:t>éléments relevés parmi les infos B1 et/ouB2</w:t>
            </w:r>
          </w:p>
          <w:p w:rsidR="0066682C" w:rsidRPr="00EB2A00" w:rsidRDefault="0066682C" w:rsidP="002E3CCB">
            <w:pPr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5 pts</w:t>
            </w:r>
          </w:p>
        </w:tc>
        <w:tc>
          <w:tcPr>
            <w:tcW w:w="1449" w:type="dxa"/>
            <w:vAlign w:val="center"/>
          </w:tcPr>
          <w:p w:rsidR="00EB2A00" w:rsidRDefault="00EB2A00" w:rsidP="00520D9C">
            <w:pPr>
              <w:jc w:val="center"/>
              <w:rPr>
                <w:b/>
              </w:rPr>
            </w:pPr>
            <w:r>
              <w:rPr>
                <w:b/>
              </w:rPr>
              <w:t>7 pts</w:t>
            </w:r>
          </w:p>
        </w:tc>
      </w:tr>
      <w:tr w:rsidR="0066682C" w:rsidTr="00EB2A00">
        <w:tc>
          <w:tcPr>
            <w:tcW w:w="675" w:type="dxa"/>
          </w:tcPr>
          <w:p w:rsidR="0066682C" w:rsidRDefault="0066682C" w:rsidP="00EB2A00">
            <w:pPr>
              <w:jc w:val="center"/>
              <w:rPr>
                <w:b/>
              </w:rPr>
            </w:pPr>
          </w:p>
          <w:p w:rsid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B1</w:t>
            </w:r>
          </w:p>
          <w:p w:rsidR="0066682C" w:rsidRPr="0066682C" w:rsidRDefault="0066682C" w:rsidP="0066682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F40EFE" w:rsidRPr="00F40EFE" w:rsidRDefault="00F40EFE" w:rsidP="00EB2A00">
            <w:pPr>
              <w:jc w:val="center"/>
              <w:rPr>
                <w:sz w:val="18"/>
                <w:szCs w:val="18"/>
              </w:rPr>
            </w:pP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EB2A00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EB2A00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EB2A00">
            <w:pPr>
              <w:rPr>
                <w:b/>
              </w:rPr>
            </w:pPr>
          </w:p>
          <w:p w:rsidR="0066682C" w:rsidRDefault="0066682C" w:rsidP="00EB2A00">
            <w:pPr>
              <w:rPr>
                <w:b/>
              </w:rPr>
            </w:pPr>
            <w:r>
              <w:rPr>
                <w:b/>
              </w:rPr>
              <w:t>Compréhension satisfaisante</w:t>
            </w:r>
          </w:p>
          <w:p w:rsidR="0066682C" w:rsidRDefault="0066682C" w:rsidP="00EB2A00">
            <w:pPr>
              <w:rPr>
                <w:b/>
              </w:rPr>
            </w:pPr>
          </w:p>
          <w:p w:rsidR="0066682C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C’est un projet ambitieux</w:t>
            </w:r>
            <w:r w:rsidR="00B64473">
              <w:t xml:space="preserve"> (7000 éoliennes)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Equiper tous les foyers d’énergie éolienne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Cela va vraiment changer l’aspect des côtes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Ce que les amoureux de la nature ne vont pas aimer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Craintes sur la navigation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Craintes sur la faune et la flore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Craintes sur l’industrie de la pêche</w:t>
            </w:r>
          </w:p>
          <w:p w:rsidR="00F40EFE" w:rsidRDefault="00F40EFE" w:rsidP="00EB2A00">
            <w:pPr>
              <w:pStyle w:val="Paragraphedeliste"/>
              <w:numPr>
                <w:ilvl w:val="0"/>
                <w:numId w:val="3"/>
              </w:numPr>
            </w:pPr>
            <w:r>
              <w:t>Le gouvernement espère que les effets bénéfiques sur l’environnement gagneront sur ceux qui s’inquiètent du projet</w:t>
            </w:r>
          </w:p>
          <w:p w:rsidR="0066682C" w:rsidRDefault="0066682C" w:rsidP="0066682C"/>
          <w:p w:rsidR="0066682C" w:rsidRPr="00EB2A00" w:rsidRDefault="0066682C" w:rsidP="0066682C">
            <w:r>
              <w:rPr>
                <w:i/>
              </w:rPr>
              <w:t>au – 6/8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8 pts</w:t>
            </w:r>
          </w:p>
        </w:tc>
        <w:tc>
          <w:tcPr>
            <w:tcW w:w="1449" w:type="dxa"/>
            <w:vAlign w:val="center"/>
          </w:tcPr>
          <w:p w:rsidR="0066682C" w:rsidRDefault="0066682C" w:rsidP="00520D9C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</w:tr>
      <w:tr w:rsidR="0066682C" w:rsidTr="0066682C">
        <w:tc>
          <w:tcPr>
            <w:tcW w:w="675" w:type="dxa"/>
          </w:tcPr>
          <w:p w:rsidR="0066682C" w:rsidRDefault="0066682C" w:rsidP="00520D9C">
            <w:pPr>
              <w:jc w:val="center"/>
              <w:rPr>
                <w:b/>
              </w:rPr>
            </w:pPr>
          </w:p>
          <w:p w:rsid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B2</w:t>
            </w:r>
          </w:p>
          <w:p w:rsidR="0066682C" w:rsidRPr="0066682C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D5073" w:rsidRPr="00AD5073" w:rsidRDefault="00AD5073" w:rsidP="00520D9C">
            <w:pPr>
              <w:jc w:val="center"/>
              <w:rPr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AD5073" w:rsidRDefault="00AD5073" w:rsidP="00AD5073">
            <w:pPr>
              <w:rPr>
                <w:sz w:val="18"/>
                <w:szCs w:val="18"/>
              </w:rPr>
            </w:pPr>
          </w:p>
          <w:p w:rsidR="00AD5073" w:rsidRPr="00AD5073" w:rsidRDefault="00AD5073" w:rsidP="00AD5073"/>
          <w:p w:rsidR="0066682C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151947" w:rsidRPr="00151947" w:rsidRDefault="00151947" w:rsidP="00520D9C">
            <w:pPr>
              <w:jc w:val="center"/>
              <w:rPr>
                <w:b/>
                <w:sz w:val="20"/>
                <w:szCs w:val="20"/>
              </w:rPr>
            </w:pPr>
          </w:p>
          <w:p w:rsidR="0066682C" w:rsidRPr="00EB2A00" w:rsidRDefault="0066682C" w:rsidP="00520D9C">
            <w:pPr>
              <w:jc w:val="center"/>
              <w:rPr>
                <w:sz w:val="26"/>
                <w:szCs w:val="26"/>
              </w:rPr>
            </w:pPr>
            <w:r w:rsidRPr="00EB2A00">
              <w:rPr>
                <w:sz w:val="26"/>
                <w:szCs w:val="26"/>
              </w:rPr>
              <w:sym w:font="Wingdings 2" w:char="F0A3"/>
            </w:r>
          </w:p>
          <w:p w:rsidR="0066682C" w:rsidRPr="00EB2A00" w:rsidRDefault="0066682C" w:rsidP="00520D9C">
            <w:pPr>
              <w:jc w:val="center"/>
              <w:rPr>
                <w:b/>
                <w:sz w:val="26"/>
                <w:szCs w:val="26"/>
              </w:rPr>
            </w:pPr>
          </w:p>
          <w:p w:rsidR="0066682C" w:rsidRDefault="0066682C" w:rsidP="00520D9C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66682C" w:rsidRDefault="0066682C" w:rsidP="00520D9C">
            <w:pPr>
              <w:rPr>
                <w:b/>
              </w:rPr>
            </w:pPr>
          </w:p>
          <w:p w:rsidR="0066682C" w:rsidRDefault="0066682C" w:rsidP="00520D9C">
            <w:pPr>
              <w:rPr>
                <w:b/>
              </w:rPr>
            </w:pPr>
            <w:r>
              <w:rPr>
                <w:b/>
              </w:rPr>
              <w:t>Compréhension fine</w:t>
            </w:r>
          </w:p>
          <w:p w:rsidR="0066682C" w:rsidRDefault="0066682C" w:rsidP="00520D9C">
            <w:pPr>
              <w:rPr>
                <w:b/>
              </w:rPr>
            </w:pPr>
          </w:p>
          <w:p w:rsidR="00151947" w:rsidRDefault="00F40EFE" w:rsidP="00520D9C">
            <w:pPr>
              <w:pStyle w:val="Paragraphedeliste"/>
              <w:numPr>
                <w:ilvl w:val="0"/>
                <w:numId w:val="3"/>
              </w:numPr>
            </w:pPr>
            <w:r>
              <w:t>Le gouvernement britannique a dévoilé ses projets</w:t>
            </w:r>
          </w:p>
          <w:p w:rsidR="00F40EFE" w:rsidRDefault="00F40EFE" w:rsidP="00520D9C">
            <w:pPr>
              <w:pStyle w:val="Paragraphedeliste"/>
              <w:numPr>
                <w:ilvl w:val="0"/>
                <w:numId w:val="3"/>
              </w:numPr>
            </w:pPr>
            <w:r>
              <w:t>Faire du pays le leader en terme d’énergie éolienne</w:t>
            </w:r>
            <w:r w:rsidR="00A65C50">
              <w:t xml:space="preserve"> (20% </w:t>
            </w:r>
            <w:bookmarkStart w:id="0" w:name="_GoBack"/>
            <w:bookmarkEnd w:id="0"/>
            <w:r w:rsidR="00A65C50">
              <w:t>d’ici 2020)</w:t>
            </w:r>
          </w:p>
          <w:p w:rsidR="00F40EFE" w:rsidRDefault="00F40EFE" w:rsidP="00520D9C">
            <w:pPr>
              <w:pStyle w:val="Paragraphedeliste"/>
              <w:numPr>
                <w:ilvl w:val="0"/>
                <w:numId w:val="3"/>
              </w:numPr>
            </w:pPr>
            <w:r>
              <w:t>L’électricité éolienne sera plus chère</w:t>
            </w:r>
          </w:p>
          <w:p w:rsidR="00F40EFE" w:rsidRDefault="00AD5073" w:rsidP="00520D9C">
            <w:pPr>
              <w:pStyle w:val="Paragraphedeliste"/>
              <w:numPr>
                <w:ilvl w:val="0"/>
                <w:numId w:val="3"/>
              </w:numPr>
            </w:pPr>
            <w:r>
              <w:t>Le Secrétaire des  Affaires britanniques John Hutton a souligné sa vision sur l’augmentation des énergies renouvelables</w:t>
            </w:r>
          </w:p>
          <w:p w:rsidR="00AD5073" w:rsidRDefault="00AD5073" w:rsidP="00520D9C">
            <w:pPr>
              <w:pStyle w:val="Paragraphedeliste"/>
              <w:numPr>
                <w:ilvl w:val="0"/>
                <w:numId w:val="3"/>
              </w:numPr>
            </w:pPr>
            <w:r>
              <w:t>Il a dit : le Royaume-Uni a un potentiel important concernant les éoliennes hors sol (en mer)</w:t>
            </w:r>
          </w:p>
          <w:p w:rsidR="00AD5073" w:rsidRDefault="00AD5073" w:rsidP="00520D9C">
            <w:pPr>
              <w:pStyle w:val="Paragraphedeliste"/>
              <w:numPr>
                <w:ilvl w:val="0"/>
                <w:numId w:val="3"/>
              </w:numPr>
            </w:pPr>
            <w:r>
              <w:t>Il a aussi une longue histoire de conception et d’installation de ces éoliennes hors sol (en mer)</w:t>
            </w:r>
          </w:p>
          <w:p w:rsidR="00151947" w:rsidRDefault="00151947" w:rsidP="00151947">
            <w:pPr>
              <w:pStyle w:val="Paragraphedeliste"/>
            </w:pPr>
          </w:p>
          <w:p w:rsidR="0066682C" w:rsidRPr="00EB2A00" w:rsidRDefault="0066682C" w:rsidP="00F40EFE">
            <w:r>
              <w:rPr>
                <w:i/>
              </w:rPr>
              <w:t>au – 5/</w:t>
            </w:r>
            <w:r w:rsidR="00F40EFE">
              <w:rPr>
                <w:i/>
              </w:rPr>
              <w:t>6</w:t>
            </w:r>
            <w:r>
              <w:rPr>
                <w:i/>
              </w:rPr>
              <w:t xml:space="preserve"> éléments relevés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  <w:r>
              <w:rPr>
                <w:b/>
              </w:rPr>
              <w:t>10 pts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  <w:tr w:rsidR="0066682C" w:rsidTr="008278A4">
        <w:tc>
          <w:tcPr>
            <w:tcW w:w="6204" w:type="dxa"/>
            <w:gridSpan w:val="2"/>
          </w:tcPr>
          <w:p w:rsidR="0066682C" w:rsidRDefault="0066682C" w:rsidP="0066682C">
            <w:pPr>
              <w:jc w:val="right"/>
              <w:rPr>
                <w:b/>
              </w:rPr>
            </w:pPr>
            <w:r>
              <w:rPr>
                <w:b/>
              </w:rPr>
              <w:t>TOTAL sur 10 points :</w:t>
            </w:r>
          </w:p>
        </w:tc>
        <w:tc>
          <w:tcPr>
            <w:tcW w:w="155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  <w:tc>
          <w:tcPr>
            <w:tcW w:w="1449" w:type="dxa"/>
            <w:vAlign w:val="center"/>
          </w:tcPr>
          <w:p w:rsidR="0066682C" w:rsidRDefault="0066682C" w:rsidP="002E3CCB">
            <w:pPr>
              <w:jc w:val="center"/>
              <w:rPr>
                <w:b/>
              </w:rPr>
            </w:pPr>
          </w:p>
        </w:tc>
      </w:tr>
    </w:tbl>
    <w:p w:rsidR="00891550" w:rsidRDefault="00891550" w:rsidP="00891550"/>
    <w:sectPr w:rsidR="00891550" w:rsidSect="002E3C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1D9"/>
    <w:multiLevelType w:val="hybridMultilevel"/>
    <w:tmpl w:val="37229590"/>
    <w:lvl w:ilvl="0" w:tplc="9CCE2D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07C0"/>
    <w:multiLevelType w:val="hybridMultilevel"/>
    <w:tmpl w:val="494C7CE4"/>
    <w:lvl w:ilvl="0" w:tplc="C32858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960E5"/>
    <w:multiLevelType w:val="hybridMultilevel"/>
    <w:tmpl w:val="D89ECEF4"/>
    <w:lvl w:ilvl="0" w:tplc="5C545E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B"/>
    <w:rsid w:val="000846EC"/>
    <w:rsid w:val="00151947"/>
    <w:rsid w:val="0028345A"/>
    <w:rsid w:val="002E3CCB"/>
    <w:rsid w:val="0066682C"/>
    <w:rsid w:val="00883CC0"/>
    <w:rsid w:val="00891550"/>
    <w:rsid w:val="009E22BF"/>
    <w:rsid w:val="00A65C50"/>
    <w:rsid w:val="00AD5073"/>
    <w:rsid w:val="00B64473"/>
    <w:rsid w:val="00CE31CB"/>
    <w:rsid w:val="00EB2A00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2A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akingnewsenglish.com/0712/071211-wind_farm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7</cp:revision>
  <dcterms:created xsi:type="dcterms:W3CDTF">2016-06-10T09:00:00Z</dcterms:created>
  <dcterms:modified xsi:type="dcterms:W3CDTF">2016-06-12T20:29:00Z</dcterms:modified>
</cp:coreProperties>
</file>