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8D" w:rsidRPr="00337B74" w:rsidRDefault="00D739DB" w:rsidP="00B34F85">
      <w:pPr>
        <w:pStyle w:val="Sansinterligne"/>
        <w:jc w:val="center"/>
        <w:rPr>
          <w:b/>
          <w:sz w:val="44"/>
        </w:rPr>
      </w:pPr>
      <w:r w:rsidRPr="00337B74">
        <w:rPr>
          <w:b/>
          <w:sz w:val="44"/>
        </w:rPr>
        <w:t>TRAFFIC DEATHS</w:t>
      </w:r>
    </w:p>
    <w:tbl>
      <w:tblPr>
        <w:tblpPr w:leftFromText="141" w:rightFromText="141" w:vertAnchor="page" w:horzAnchor="margin" w:tblpY="1917"/>
        <w:tblW w:w="10131" w:type="dxa"/>
        <w:tblBorders>
          <w:top w:val="single" w:sz="8" w:space="0" w:color="E8509D"/>
          <w:left w:val="single" w:sz="8" w:space="0" w:color="E8509D"/>
          <w:bottom w:val="single" w:sz="8" w:space="0" w:color="E8509D"/>
          <w:right w:val="single" w:sz="8" w:space="0" w:color="E8509D"/>
          <w:insideH w:val="single" w:sz="4" w:space="0" w:color="067CA4"/>
        </w:tblBorders>
        <w:tblLayout w:type="fixed"/>
        <w:tblLook w:val="04A0" w:firstRow="1" w:lastRow="0" w:firstColumn="1" w:lastColumn="0" w:noHBand="0" w:noVBand="1"/>
      </w:tblPr>
      <w:tblGrid>
        <w:gridCol w:w="1185"/>
        <w:gridCol w:w="7996"/>
        <w:gridCol w:w="475"/>
        <w:gridCol w:w="475"/>
      </w:tblGrid>
      <w:tr w:rsidR="00B34F85" w:rsidRPr="006A4F22" w:rsidTr="00D739DB">
        <w:trPr>
          <w:trHeight w:val="58"/>
        </w:trPr>
        <w:tc>
          <w:tcPr>
            <w:tcW w:w="1185" w:type="dxa"/>
            <w:tcBorders>
              <w:top w:val="single" w:sz="8" w:space="0" w:color="E8509D"/>
              <w:bottom w:val="single" w:sz="4" w:space="0" w:color="067CA4"/>
              <w:right w:val="single" w:sz="4" w:space="0" w:color="E8509D"/>
            </w:tcBorders>
            <w:shd w:val="clear" w:color="auto" w:fill="DAEEF3"/>
            <w:vAlign w:val="center"/>
          </w:tcPr>
          <w:p w:rsidR="00B34F85" w:rsidRPr="000C6908" w:rsidRDefault="00B34F85" w:rsidP="00D739DB">
            <w:pPr>
              <w:spacing w:after="0" w:line="240" w:lineRule="auto"/>
              <w:jc w:val="center"/>
              <w:rPr>
                <w:rFonts w:ascii="Times New Roman" w:hAnsi="Times New Roman"/>
                <w:b/>
                <w:color w:val="000000"/>
              </w:rPr>
            </w:pPr>
            <w:r w:rsidRPr="000C6908">
              <w:rPr>
                <w:rFonts w:ascii="Times New Roman" w:hAnsi="Times New Roman"/>
                <w:b/>
                <w:color w:val="000000"/>
              </w:rPr>
              <w:t>Niveau</w:t>
            </w:r>
          </w:p>
          <w:p w:rsidR="00B34F85" w:rsidRPr="006A4F22" w:rsidRDefault="00B34F85" w:rsidP="00D739DB">
            <w:pPr>
              <w:spacing w:after="0" w:line="240" w:lineRule="auto"/>
              <w:jc w:val="center"/>
              <w:rPr>
                <w:rFonts w:ascii="Times New Roman" w:hAnsi="Times New Roman"/>
                <w:b/>
                <w:color w:val="000000"/>
              </w:rPr>
            </w:pPr>
            <w:r w:rsidRPr="000C6908">
              <w:rPr>
                <w:rFonts w:ascii="Times New Roman" w:hAnsi="Times New Roman"/>
                <w:b/>
                <w:color w:val="000000"/>
              </w:rPr>
              <w:t>CECRL</w:t>
            </w:r>
          </w:p>
        </w:tc>
        <w:tc>
          <w:tcPr>
            <w:tcW w:w="7996" w:type="dxa"/>
            <w:tcBorders>
              <w:left w:val="single" w:sz="4" w:space="0" w:color="E8509D"/>
              <w:right w:val="single" w:sz="8" w:space="0" w:color="E8509D"/>
            </w:tcBorders>
            <w:vAlign w:val="bottom"/>
          </w:tcPr>
          <w:p w:rsidR="00B34F85" w:rsidRPr="006A4F22" w:rsidRDefault="00B34F85" w:rsidP="00D739DB">
            <w:pPr>
              <w:spacing w:after="0" w:line="240" w:lineRule="auto"/>
              <w:jc w:val="both"/>
              <w:rPr>
                <w:rFonts w:ascii="Times New Roman" w:hAnsi="Times New Roman"/>
                <w:b/>
                <w:color w:val="000000"/>
              </w:rPr>
            </w:pPr>
          </w:p>
        </w:tc>
        <w:tc>
          <w:tcPr>
            <w:tcW w:w="950" w:type="dxa"/>
            <w:gridSpan w:val="2"/>
            <w:tcBorders>
              <w:top w:val="single" w:sz="8" w:space="0" w:color="E8509D"/>
              <w:left w:val="single" w:sz="8" w:space="0" w:color="E8509D"/>
              <w:bottom w:val="single" w:sz="4" w:space="0" w:color="067CA4"/>
            </w:tcBorders>
            <w:shd w:val="clear" w:color="auto" w:fill="E5DFEC"/>
            <w:vAlign w:val="center"/>
          </w:tcPr>
          <w:p w:rsidR="00B34F85" w:rsidRPr="00F7121D" w:rsidRDefault="00B34F85" w:rsidP="00D739DB">
            <w:pPr>
              <w:pBdr>
                <w:left w:val="single" w:sz="8" w:space="4" w:color="E8509D"/>
              </w:pBdr>
              <w:spacing w:after="0" w:line="240" w:lineRule="auto"/>
              <w:ind w:left="-64"/>
              <w:jc w:val="center"/>
              <w:rPr>
                <w:rFonts w:ascii="Times New Roman" w:hAnsi="Times New Roman"/>
                <w:i/>
                <w:color w:val="000000"/>
                <w:spacing w:val="-10"/>
                <w:sz w:val="16"/>
                <w:szCs w:val="16"/>
              </w:rPr>
            </w:pPr>
            <w:r w:rsidRPr="00F7121D">
              <w:rPr>
                <w:rFonts w:ascii="Times New Roman" w:hAnsi="Times New Roman"/>
                <w:i/>
                <w:color w:val="000000"/>
                <w:spacing w:val="-10"/>
                <w:sz w:val="16"/>
                <w:szCs w:val="16"/>
              </w:rPr>
              <w:t>Votre barème</w:t>
            </w:r>
          </w:p>
          <w:p w:rsidR="00B34F85" w:rsidRPr="00F7121D" w:rsidRDefault="00B34F85" w:rsidP="00D739DB">
            <w:pPr>
              <w:pBdr>
                <w:left w:val="single" w:sz="8" w:space="4" w:color="E8509D"/>
              </w:pBdr>
              <w:spacing w:after="0" w:line="240" w:lineRule="auto"/>
              <w:ind w:left="-64"/>
              <w:jc w:val="center"/>
              <w:rPr>
                <w:rFonts w:ascii="Times New Roman" w:hAnsi="Times New Roman"/>
                <w:i/>
                <w:color w:val="000000"/>
                <w:sz w:val="16"/>
                <w:szCs w:val="16"/>
              </w:rPr>
            </w:pPr>
            <w:r w:rsidRPr="00C740F6">
              <w:rPr>
                <w:rFonts w:ascii="Times New Roman" w:hAnsi="Times New Roman"/>
                <w:b/>
                <w:color w:val="000000"/>
                <w:sz w:val="16"/>
                <w:szCs w:val="16"/>
              </w:rPr>
              <w:t>LV1</w:t>
            </w:r>
            <w:r>
              <w:rPr>
                <w:rFonts w:ascii="Times New Roman" w:hAnsi="Times New Roman"/>
                <w:color w:val="000000"/>
                <w:sz w:val="16"/>
                <w:szCs w:val="16"/>
              </w:rPr>
              <w:t xml:space="preserve">   </w:t>
            </w:r>
            <w:r w:rsidRPr="00C740F6">
              <w:rPr>
                <w:rFonts w:ascii="Times New Roman" w:hAnsi="Times New Roman"/>
                <w:b/>
                <w:color w:val="000000"/>
                <w:sz w:val="16"/>
                <w:szCs w:val="16"/>
              </w:rPr>
              <w:t>LV2</w:t>
            </w:r>
          </w:p>
        </w:tc>
      </w:tr>
      <w:tr w:rsidR="00B34F85" w:rsidRPr="006A4F22" w:rsidTr="00D739DB">
        <w:trPr>
          <w:trHeight w:val="58"/>
        </w:trPr>
        <w:tc>
          <w:tcPr>
            <w:tcW w:w="1185" w:type="dxa"/>
            <w:tcBorders>
              <w:top w:val="single" w:sz="4" w:space="0" w:color="067CA4"/>
              <w:bottom w:val="single" w:sz="4" w:space="0" w:color="067CA4"/>
              <w:right w:val="single" w:sz="4" w:space="0" w:color="E8509D"/>
            </w:tcBorders>
            <w:shd w:val="clear" w:color="auto" w:fill="DAEEF3"/>
            <w:vAlign w:val="center"/>
          </w:tcPr>
          <w:p w:rsidR="00B34F85" w:rsidRPr="000C6908" w:rsidRDefault="00B34F85" w:rsidP="00D739DB">
            <w:pPr>
              <w:spacing w:after="0" w:line="240" w:lineRule="auto"/>
              <w:jc w:val="center"/>
              <w:rPr>
                <w:rFonts w:ascii="Times New Roman" w:hAnsi="Times New Roman"/>
                <w:b/>
                <w:color w:val="000000"/>
              </w:rPr>
            </w:pPr>
            <w:r w:rsidRPr="000C6908">
              <w:rPr>
                <w:rFonts w:ascii="Times New Roman" w:hAnsi="Times New Roman"/>
                <w:b/>
              </w:rPr>
              <w:t>Hors cadre</w:t>
            </w:r>
          </w:p>
        </w:tc>
        <w:tc>
          <w:tcPr>
            <w:tcW w:w="7996" w:type="dxa"/>
            <w:tcBorders>
              <w:left w:val="single" w:sz="4" w:space="0" w:color="E8509D"/>
              <w:right w:val="single" w:sz="8" w:space="0" w:color="E8509D"/>
            </w:tcBorders>
            <w:vAlign w:val="center"/>
          </w:tcPr>
          <w:p w:rsidR="00B34F85" w:rsidRPr="00930CF5" w:rsidRDefault="00B34F85" w:rsidP="00D739DB">
            <w:pPr>
              <w:spacing w:after="0" w:line="240" w:lineRule="auto"/>
              <w:jc w:val="both"/>
              <w:rPr>
                <w:rFonts w:ascii="Times New Roman" w:hAnsi="Times New Roman"/>
                <w:sz w:val="8"/>
                <w:szCs w:val="8"/>
              </w:rPr>
            </w:pPr>
          </w:p>
          <w:p w:rsidR="00B34F85" w:rsidRPr="00337B74" w:rsidRDefault="00B34F85" w:rsidP="00D739DB">
            <w:pPr>
              <w:spacing w:after="0" w:line="240" w:lineRule="auto"/>
              <w:ind w:left="284" w:right="345"/>
              <w:jc w:val="both"/>
              <w:rPr>
                <w:sz w:val="24"/>
                <w:szCs w:val="20"/>
              </w:rPr>
            </w:pPr>
            <w:r w:rsidRPr="00337B74">
              <w:rPr>
                <w:sz w:val="24"/>
                <w:szCs w:val="20"/>
              </w:rPr>
              <w:t>Le candidat n’a pas compris le document, il n’est pas parvenu à identifier le sujet / thème du document.</w:t>
            </w:r>
          </w:p>
          <w:p w:rsidR="00B34F85" w:rsidRPr="006A4F22" w:rsidRDefault="00B34F85" w:rsidP="00D739DB">
            <w:pPr>
              <w:spacing w:after="0" w:line="240" w:lineRule="auto"/>
              <w:jc w:val="both"/>
              <w:rPr>
                <w:rFonts w:ascii="Times New Roman" w:hAnsi="Times New Roman"/>
                <w:color w:val="000000"/>
                <w:sz w:val="8"/>
                <w:szCs w:val="8"/>
              </w:rPr>
            </w:pPr>
          </w:p>
        </w:tc>
        <w:tc>
          <w:tcPr>
            <w:tcW w:w="475" w:type="dxa"/>
            <w:tcBorders>
              <w:top w:val="single" w:sz="4" w:space="0" w:color="067CA4"/>
              <w:left w:val="single" w:sz="8" w:space="0" w:color="E8509D"/>
              <w:bottom w:val="single" w:sz="4" w:space="0" w:color="067CA4"/>
              <w:right w:val="single" w:sz="2" w:space="0" w:color="E8509D"/>
            </w:tcBorders>
            <w:shd w:val="clear" w:color="auto" w:fill="D9D9D9"/>
            <w:vAlign w:val="center"/>
          </w:tcPr>
          <w:p w:rsidR="00B34F85" w:rsidRPr="006A4F22" w:rsidRDefault="00B34F85" w:rsidP="00D739DB">
            <w:pPr>
              <w:spacing w:after="0" w:line="240" w:lineRule="auto"/>
              <w:jc w:val="center"/>
              <w:rPr>
                <w:rFonts w:ascii="Times New Roman" w:hAnsi="Times New Roman"/>
                <w:b/>
                <w:color w:val="000000"/>
              </w:rPr>
            </w:pPr>
            <w:r>
              <w:rPr>
                <w:rFonts w:ascii="Times New Roman" w:hAnsi="Times New Roman"/>
                <w:b/>
                <w:color w:val="000000"/>
              </w:rPr>
              <w:t>2</w:t>
            </w:r>
          </w:p>
        </w:tc>
        <w:tc>
          <w:tcPr>
            <w:tcW w:w="475" w:type="dxa"/>
            <w:tcBorders>
              <w:top w:val="single" w:sz="4" w:space="0" w:color="067CA4"/>
              <w:left w:val="single" w:sz="2" w:space="0" w:color="E8509D"/>
            </w:tcBorders>
            <w:shd w:val="clear" w:color="auto" w:fill="BFBFBF"/>
            <w:vAlign w:val="center"/>
          </w:tcPr>
          <w:p w:rsidR="00B34F85" w:rsidRPr="006A4F22" w:rsidRDefault="00B34F85" w:rsidP="00D739DB">
            <w:pPr>
              <w:spacing w:after="0" w:line="240" w:lineRule="auto"/>
              <w:ind w:left="-64"/>
              <w:jc w:val="center"/>
              <w:rPr>
                <w:rFonts w:ascii="Times New Roman" w:hAnsi="Times New Roman"/>
                <w:b/>
                <w:color w:val="000000"/>
              </w:rPr>
            </w:pPr>
            <w:r>
              <w:rPr>
                <w:rFonts w:ascii="Times New Roman" w:hAnsi="Times New Roman"/>
                <w:b/>
                <w:color w:val="000000"/>
              </w:rPr>
              <w:t>2</w:t>
            </w:r>
          </w:p>
        </w:tc>
      </w:tr>
      <w:tr w:rsidR="00B34F85" w:rsidRPr="006A4F22" w:rsidTr="00D739DB">
        <w:trPr>
          <w:trHeight w:val="58"/>
        </w:trPr>
        <w:tc>
          <w:tcPr>
            <w:tcW w:w="1185" w:type="dxa"/>
            <w:tcBorders>
              <w:top w:val="single" w:sz="4" w:space="0" w:color="067CA4"/>
              <w:bottom w:val="single" w:sz="4" w:space="0" w:color="067CA4"/>
              <w:right w:val="single" w:sz="4" w:space="0" w:color="E8509D"/>
            </w:tcBorders>
            <w:shd w:val="clear" w:color="auto" w:fill="DAEEF3"/>
            <w:vAlign w:val="center"/>
          </w:tcPr>
          <w:p w:rsidR="00B34F85" w:rsidRDefault="00B34F85" w:rsidP="00D739DB">
            <w:pPr>
              <w:spacing w:after="0" w:line="240" w:lineRule="auto"/>
              <w:jc w:val="center"/>
              <w:rPr>
                <w:rFonts w:ascii="Times New Roman" w:hAnsi="Times New Roman"/>
                <w:b/>
                <w:sz w:val="16"/>
                <w:szCs w:val="16"/>
              </w:rPr>
            </w:pPr>
            <w:r w:rsidRPr="0022385A">
              <w:rPr>
                <w:rFonts w:ascii="Times New Roman" w:hAnsi="Times New Roman"/>
                <w:sz w:val="16"/>
                <w:szCs w:val="16"/>
              </w:rPr>
              <w:t>Éléments relevant du niveau</w:t>
            </w:r>
          </w:p>
          <w:p w:rsidR="00B34F85" w:rsidRPr="00F7121D" w:rsidRDefault="00B34F85" w:rsidP="00D739DB">
            <w:pPr>
              <w:spacing w:after="0" w:line="240" w:lineRule="auto"/>
              <w:jc w:val="center"/>
              <w:rPr>
                <w:rFonts w:ascii="Times New Roman" w:hAnsi="Times New Roman"/>
                <w:b/>
                <w:sz w:val="16"/>
                <w:szCs w:val="16"/>
              </w:rPr>
            </w:pPr>
            <w:r w:rsidRPr="006A4F22">
              <w:rPr>
                <w:rFonts w:ascii="Times New Roman" w:hAnsi="Times New Roman"/>
                <w:b/>
                <w:sz w:val="24"/>
                <w:szCs w:val="20"/>
              </w:rPr>
              <w:t>A1</w:t>
            </w:r>
          </w:p>
        </w:tc>
        <w:tc>
          <w:tcPr>
            <w:tcW w:w="7996" w:type="dxa"/>
            <w:tcBorders>
              <w:left w:val="single" w:sz="4" w:space="0" w:color="E8509D"/>
              <w:right w:val="single" w:sz="8" w:space="0" w:color="E8509D"/>
            </w:tcBorders>
            <w:vAlign w:val="center"/>
          </w:tcPr>
          <w:p w:rsidR="00B34F85" w:rsidRPr="00337B74" w:rsidRDefault="00B34F85" w:rsidP="00D739DB">
            <w:pPr>
              <w:spacing w:after="0" w:line="240" w:lineRule="auto"/>
              <w:ind w:left="284" w:right="345"/>
              <w:jc w:val="both"/>
              <w:rPr>
                <w:color w:val="000000"/>
                <w:sz w:val="8"/>
                <w:szCs w:val="8"/>
              </w:rPr>
            </w:pPr>
            <w:r w:rsidRPr="00337B74">
              <w:rPr>
                <w:sz w:val="24"/>
              </w:rPr>
              <w:t xml:space="preserve">Repérage des idées les plus </w:t>
            </w:r>
            <w:r w:rsidR="00D739DB" w:rsidRPr="00337B74">
              <w:rPr>
                <w:sz w:val="24"/>
              </w:rPr>
              <w:t>simples</w:t>
            </w:r>
          </w:p>
        </w:tc>
        <w:tc>
          <w:tcPr>
            <w:tcW w:w="475" w:type="dxa"/>
            <w:tcBorders>
              <w:top w:val="single" w:sz="4" w:space="0" w:color="067CA4"/>
              <w:left w:val="single" w:sz="8" w:space="0" w:color="E8509D"/>
              <w:bottom w:val="single" w:sz="4" w:space="0" w:color="067CA4"/>
              <w:right w:val="single" w:sz="2" w:space="0" w:color="E8509D"/>
            </w:tcBorders>
            <w:shd w:val="clear" w:color="auto" w:fill="D9D9D9"/>
            <w:vAlign w:val="center"/>
          </w:tcPr>
          <w:p w:rsidR="00B34F85" w:rsidRPr="006A4F22" w:rsidRDefault="00B34F85" w:rsidP="00D739DB">
            <w:pPr>
              <w:spacing w:after="0" w:line="240" w:lineRule="auto"/>
              <w:jc w:val="center"/>
              <w:rPr>
                <w:rFonts w:ascii="Times New Roman" w:hAnsi="Times New Roman"/>
                <w:b/>
                <w:color w:val="000000"/>
              </w:rPr>
            </w:pPr>
            <w:r>
              <w:rPr>
                <w:rFonts w:ascii="Times New Roman" w:hAnsi="Times New Roman"/>
                <w:b/>
                <w:color w:val="000000"/>
              </w:rPr>
              <w:t>6</w:t>
            </w:r>
          </w:p>
        </w:tc>
        <w:tc>
          <w:tcPr>
            <w:tcW w:w="475" w:type="dxa"/>
            <w:tcBorders>
              <w:left w:val="single" w:sz="2" w:space="0" w:color="E8509D"/>
            </w:tcBorders>
            <w:shd w:val="clear" w:color="auto" w:fill="BFBFBF"/>
            <w:vAlign w:val="center"/>
          </w:tcPr>
          <w:p w:rsidR="00B34F85" w:rsidRPr="006A4F22" w:rsidRDefault="00B34F85" w:rsidP="00D739DB">
            <w:pPr>
              <w:spacing w:after="0" w:line="240" w:lineRule="auto"/>
              <w:ind w:left="-64"/>
              <w:jc w:val="center"/>
              <w:rPr>
                <w:rFonts w:ascii="Times New Roman" w:hAnsi="Times New Roman"/>
                <w:b/>
                <w:color w:val="000000"/>
              </w:rPr>
            </w:pPr>
            <w:r>
              <w:rPr>
                <w:rFonts w:ascii="Times New Roman" w:hAnsi="Times New Roman"/>
                <w:b/>
                <w:color w:val="000000"/>
              </w:rPr>
              <w:t>8</w:t>
            </w:r>
          </w:p>
        </w:tc>
      </w:tr>
      <w:tr w:rsidR="00B34F85" w:rsidRPr="006A4F22" w:rsidTr="00D739DB">
        <w:trPr>
          <w:trHeight w:val="58"/>
        </w:trPr>
        <w:tc>
          <w:tcPr>
            <w:tcW w:w="1185" w:type="dxa"/>
            <w:tcBorders>
              <w:top w:val="single" w:sz="4" w:space="0" w:color="067CA4"/>
              <w:bottom w:val="single" w:sz="4" w:space="0" w:color="067CA4"/>
              <w:right w:val="single" w:sz="4" w:space="0" w:color="E8509D"/>
            </w:tcBorders>
            <w:shd w:val="clear" w:color="auto" w:fill="DAEEF3"/>
            <w:vAlign w:val="center"/>
          </w:tcPr>
          <w:p w:rsidR="00B34F85" w:rsidRDefault="00B34F85" w:rsidP="00D739DB">
            <w:pPr>
              <w:spacing w:after="0" w:line="240" w:lineRule="auto"/>
              <w:jc w:val="center"/>
              <w:rPr>
                <w:rFonts w:ascii="Times New Roman" w:hAnsi="Times New Roman"/>
                <w:b/>
                <w:sz w:val="20"/>
                <w:szCs w:val="20"/>
              </w:rPr>
            </w:pPr>
            <w:r w:rsidRPr="0022385A">
              <w:rPr>
                <w:rFonts w:ascii="Times New Roman" w:hAnsi="Times New Roman"/>
                <w:sz w:val="16"/>
                <w:szCs w:val="16"/>
              </w:rPr>
              <w:t>Éléments relevant du niveau</w:t>
            </w:r>
            <w:r w:rsidRPr="006A4F22">
              <w:rPr>
                <w:rFonts w:ascii="Times New Roman" w:hAnsi="Times New Roman"/>
                <w:b/>
                <w:sz w:val="20"/>
                <w:szCs w:val="20"/>
              </w:rPr>
              <w:t xml:space="preserve"> </w:t>
            </w:r>
          </w:p>
          <w:p w:rsidR="00B34F85" w:rsidRPr="006A4F22" w:rsidRDefault="00B34F85" w:rsidP="00D739DB">
            <w:pPr>
              <w:spacing w:after="0" w:line="240" w:lineRule="auto"/>
              <w:jc w:val="center"/>
              <w:rPr>
                <w:rFonts w:ascii="Times New Roman" w:hAnsi="Times New Roman"/>
                <w:color w:val="000000"/>
              </w:rPr>
            </w:pPr>
            <w:r w:rsidRPr="006A4F22">
              <w:rPr>
                <w:rFonts w:ascii="Times New Roman" w:hAnsi="Times New Roman"/>
                <w:b/>
                <w:sz w:val="24"/>
                <w:szCs w:val="20"/>
              </w:rPr>
              <w:t>A2</w:t>
            </w:r>
          </w:p>
        </w:tc>
        <w:tc>
          <w:tcPr>
            <w:tcW w:w="7996" w:type="dxa"/>
            <w:tcBorders>
              <w:left w:val="single" w:sz="4" w:space="0" w:color="E8509D"/>
              <w:right w:val="single" w:sz="8" w:space="0" w:color="E8509D"/>
            </w:tcBorders>
            <w:vAlign w:val="center"/>
          </w:tcPr>
          <w:p w:rsidR="00D739DB" w:rsidRPr="00D739DB" w:rsidRDefault="00D739DB" w:rsidP="00D739DB">
            <w:pPr>
              <w:pStyle w:val="Standard"/>
              <w:numPr>
                <w:ilvl w:val="0"/>
                <w:numId w:val="5"/>
              </w:numPr>
              <w:rPr>
                <w:rFonts w:asciiTheme="minorHAnsi" w:hAnsiTheme="minorHAnsi"/>
                <w:szCs w:val="26"/>
              </w:rPr>
            </w:pPr>
            <w:r w:rsidRPr="00D739DB">
              <w:rPr>
                <w:rFonts w:asciiTheme="minorHAnsi" w:hAnsiTheme="minorHAnsi"/>
                <w:szCs w:val="26"/>
              </w:rPr>
              <w:t>Usagers de la route aux Etats Unis.</w:t>
            </w:r>
          </w:p>
          <w:p w:rsidR="00D739DB" w:rsidRPr="00D739DB" w:rsidRDefault="00D739DB" w:rsidP="00D739DB">
            <w:pPr>
              <w:pStyle w:val="Standard"/>
              <w:numPr>
                <w:ilvl w:val="0"/>
                <w:numId w:val="5"/>
              </w:numPr>
              <w:rPr>
                <w:rFonts w:asciiTheme="minorHAnsi" w:hAnsiTheme="minorHAnsi"/>
                <w:szCs w:val="26"/>
              </w:rPr>
            </w:pPr>
            <w:r w:rsidRPr="00D739DB">
              <w:rPr>
                <w:rFonts w:asciiTheme="minorHAnsi" w:hAnsiTheme="minorHAnsi"/>
                <w:szCs w:val="26"/>
              </w:rPr>
              <w:t>La circulation dense aux Etats Unis.</w:t>
            </w:r>
          </w:p>
          <w:p w:rsidR="00D739DB" w:rsidRPr="00D739DB" w:rsidRDefault="00D739DB" w:rsidP="00D739DB">
            <w:pPr>
              <w:pStyle w:val="Standard"/>
              <w:numPr>
                <w:ilvl w:val="0"/>
                <w:numId w:val="5"/>
              </w:numPr>
              <w:rPr>
                <w:rFonts w:asciiTheme="minorHAnsi" w:hAnsiTheme="minorHAnsi"/>
                <w:szCs w:val="26"/>
              </w:rPr>
            </w:pPr>
            <w:r w:rsidRPr="00D739DB">
              <w:rPr>
                <w:rFonts w:asciiTheme="minorHAnsi" w:hAnsiTheme="minorHAnsi"/>
                <w:szCs w:val="26"/>
              </w:rPr>
              <w:t>Taux de mortalité augmenté en un an.</w:t>
            </w:r>
          </w:p>
          <w:p w:rsidR="00D739DB" w:rsidRPr="00D739DB" w:rsidRDefault="00D739DB" w:rsidP="00D739DB">
            <w:pPr>
              <w:pStyle w:val="Standard"/>
              <w:numPr>
                <w:ilvl w:val="0"/>
                <w:numId w:val="5"/>
              </w:numPr>
              <w:rPr>
                <w:rFonts w:asciiTheme="minorHAnsi" w:hAnsiTheme="minorHAnsi"/>
                <w:szCs w:val="26"/>
              </w:rPr>
            </w:pPr>
            <w:r w:rsidRPr="00D739DB">
              <w:rPr>
                <w:rFonts w:asciiTheme="minorHAnsi" w:hAnsiTheme="minorHAnsi"/>
                <w:szCs w:val="26"/>
              </w:rPr>
              <w:t xml:space="preserve">Les embouteillages posent </w:t>
            </w:r>
            <w:proofErr w:type="gramStart"/>
            <w:r w:rsidRPr="00D739DB">
              <w:rPr>
                <w:rFonts w:asciiTheme="minorHAnsi" w:hAnsiTheme="minorHAnsi"/>
                <w:szCs w:val="26"/>
              </w:rPr>
              <w:t>problème .</w:t>
            </w:r>
            <w:proofErr w:type="gramEnd"/>
          </w:p>
          <w:p w:rsidR="00D739DB" w:rsidRDefault="00D739DB" w:rsidP="00D739DB">
            <w:pPr>
              <w:pStyle w:val="Standard"/>
              <w:numPr>
                <w:ilvl w:val="0"/>
                <w:numId w:val="5"/>
              </w:numPr>
              <w:rPr>
                <w:rFonts w:asciiTheme="minorHAnsi" w:hAnsiTheme="minorHAnsi"/>
                <w:szCs w:val="26"/>
              </w:rPr>
            </w:pPr>
            <w:r w:rsidRPr="00D739DB">
              <w:rPr>
                <w:rFonts w:asciiTheme="minorHAnsi" w:hAnsiTheme="minorHAnsi"/>
                <w:szCs w:val="26"/>
              </w:rPr>
              <w:t>Les temps de trajet sont augmentés.</w:t>
            </w:r>
          </w:p>
          <w:p w:rsidR="00B34F85" w:rsidRPr="00D739DB" w:rsidRDefault="00D739DB" w:rsidP="00D739DB">
            <w:pPr>
              <w:pStyle w:val="Standard"/>
              <w:numPr>
                <w:ilvl w:val="0"/>
                <w:numId w:val="5"/>
              </w:numPr>
              <w:rPr>
                <w:rFonts w:asciiTheme="minorHAnsi" w:hAnsiTheme="minorHAnsi"/>
                <w:szCs w:val="26"/>
              </w:rPr>
            </w:pPr>
            <w:r w:rsidRPr="00D739DB">
              <w:rPr>
                <w:rFonts w:asciiTheme="minorHAnsi" w:hAnsiTheme="minorHAnsi"/>
                <w:szCs w:val="26"/>
              </w:rPr>
              <w:t>Différentes solutions sont comparées</w:t>
            </w:r>
          </w:p>
          <w:p w:rsidR="00B34F85" w:rsidRPr="006108AB" w:rsidRDefault="00B34F85" w:rsidP="00D739DB">
            <w:pPr>
              <w:spacing w:after="0" w:line="240" w:lineRule="auto"/>
              <w:ind w:left="284" w:right="345"/>
              <w:jc w:val="both"/>
              <w:rPr>
                <w:rFonts w:ascii="Times New Roman" w:hAnsi="Times New Roman"/>
                <w:sz w:val="8"/>
                <w:szCs w:val="8"/>
              </w:rPr>
            </w:pPr>
          </w:p>
        </w:tc>
        <w:tc>
          <w:tcPr>
            <w:tcW w:w="475" w:type="dxa"/>
            <w:tcBorders>
              <w:top w:val="single" w:sz="4" w:space="0" w:color="067CA4"/>
              <w:left w:val="single" w:sz="8" w:space="0" w:color="E8509D"/>
              <w:bottom w:val="single" w:sz="4" w:space="0" w:color="067CA4"/>
              <w:right w:val="single" w:sz="2" w:space="0" w:color="E8509D"/>
            </w:tcBorders>
            <w:shd w:val="clear" w:color="auto" w:fill="D9D9D9"/>
            <w:vAlign w:val="center"/>
          </w:tcPr>
          <w:p w:rsidR="00B34F85" w:rsidRPr="006A4F22" w:rsidRDefault="00B34F85" w:rsidP="00D739DB">
            <w:pPr>
              <w:spacing w:after="0" w:line="240" w:lineRule="auto"/>
              <w:jc w:val="center"/>
              <w:rPr>
                <w:rFonts w:ascii="Times New Roman" w:hAnsi="Times New Roman"/>
                <w:b/>
                <w:color w:val="000000"/>
              </w:rPr>
            </w:pPr>
            <w:r>
              <w:rPr>
                <w:rFonts w:ascii="Times New Roman" w:hAnsi="Times New Roman"/>
                <w:b/>
                <w:color w:val="000000"/>
              </w:rPr>
              <w:t>10</w:t>
            </w:r>
          </w:p>
        </w:tc>
        <w:tc>
          <w:tcPr>
            <w:tcW w:w="475" w:type="dxa"/>
            <w:tcBorders>
              <w:left w:val="single" w:sz="2" w:space="0" w:color="E8509D"/>
            </w:tcBorders>
            <w:shd w:val="clear" w:color="auto" w:fill="BFBFBF"/>
            <w:vAlign w:val="center"/>
          </w:tcPr>
          <w:p w:rsidR="00B34F85" w:rsidRPr="006A4F22" w:rsidRDefault="00B34F85" w:rsidP="00D739DB">
            <w:pPr>
              <w:spacing w:after="0" w:line="240" w:lineRule="auto"/>
              <w:ind w:left="-64"/>
              <w:jc w:val="center"/>
              <w:rPr>
                <w:rFonts w:ascii="Times New Roman" w:hAnsi="Times New Roman"/>
                <w:b/>
                <w:color w:val="000000"/>
              </w:rPr>
            </w:pPr>
            <w:r>
              <w:rPr>
                <w:rFonts w:ascii="Times New Roman" w:hAnsi="Times New Roman"/>
                <w:b/>
                <w:color w:val="000000"/>
              </w:rPr>
              <w:t>14</w:t>
            </w:r>
          </w:p>
        </w:tc>
      </w:tr>
      <w:tr w:rsidR="00B34F85" w:rsidRPr="006A4F22" w:rsidTr="00D739DB">
        <w:trPr>
          <w:trHeight w:val="3358"/>
        </w:trPr>
        <w:tc>
          <w:tcPr>
            <w:tcW w:w="1185" w:type="dxa"/>
            <w:tcBorders>
              <w:top w:val="single" w:sz="4" w:space="0" w:color="067CA4"/>
              <w:bottom w:val="single" w:sz="4" w:space="0" w:color="067CA4"/>
              <w:right w:val="single" w:sz="4" w:space="0" w:color="E8509D"/>
            </w:tcBorders>
            <w:shd w:val="clear" w:color="auto" w:fill="DAEEF3"/>
            <w:vAlign w:val="center"/>
          </w:tcPr>
          <w:p w:rsidR="00B34F85" w:rsidRDefault="00B34F85" w:rsidP="00D739DB">
            <w:pPr>
              <w:spacing w:after="0" w:line="240" w:lineRule="auto"/>
              <w:jc w:val="center"/>
              <w:rPr>
                <w:rFonts w:ascii="Times New Roman" w:hAnsi="Times New Roman"/>
                <w:b/>
                <w:sz w:val="20"/>
                <w:szCs w:val="20"/>
              </w:rPr>
            </w:pPr>
            <w:r w:rsidRPr="0022385A">
              <w:rPr>
                <w:rFonts w:ascii="Times New Roman" w:hAnsi="Times New Roman"/>
                <w:sz w:val="16"/>
                <w:szCs w:val="16"/>
              </w:rPr>
              <w:t>Éléments relevant du niveau</w:t>
            </w:r>
            <w:r w:rsidRPr="006A4F22">
              <w:rPr>
                <w:rFonts w:ascii="Times New Roman" w:hAnsi="Times New Roman"/>
                <w:b/>
                <w:sz w:val="20"/>
                <w:szCs w:val="20"/>
              </w:rPr>
              <w:t xml:space="preserve"> </w:t>
            </w:r>
          </w:p>
          <w:p w:rsidR="00B34F85" w:rsidRPr="006A4F22" w:rsidRDefault="00B34F85" w:rsidP="00D739DB">
            <w:pPr>
              <w:spacing w:after="0" w:line="240" w:lineRule="auto"/>
              <w:jc w:val="center"/>
              <w:rPr>
                <w:rFonts w:ascii="Times New Roman" w:hAnsi="Times New Roman"/>
                <w:color w:val="000000"/>
              </w:rPr>
            </w:pPr>
            <w:r w:rsidRPr="006A4F22">
              <w:rPr>
                <w:rFonts w:ascii="Times New Roman" w:hAnsi="Times New Roman"/>
                <w:b/>
                <w:sz w:val="24"/>
                <w:szCs w:val="20"/>
              </w:rPr>
              <w:t>B1</w:t>
            </w:r>
          </w:p>
        </w:tc>
        <w:tc>
          <w:tcPr>
            <w:tcW w:w="7996" w:type="dxa"/>
            <w:tcBorders>
              <w:left w:val="single" w:sz="4" w:space="0" w:color="E8509D"/>
              <w:right w:val="single" w:sz="8" w:space="0" w:color="E8509D"/>
            </w:tcBorders>
            <w:vAlign w:val="center"/>
          </w:tcPr>
          <w:p w:rsidR="00B34F85" w:rsidRDefault="00B34F85" w:rsidP="00D739DB">
            <w:pPr>
              <w:spacing w:after="0" w:line="240" w:lineRule="auto"/>
              <w:ind w:left="284" w:right="345"/>
              <w:jc w:val="both"/>
              <w:rPr>
                <w:rFonts w:ascii="Times New Roman" w:hAnsi="Times New Roman"/>
                <w:i/>
                <w:color w:val="000000"/>
                <w:sz w:val="8"/>
                <w:szCs w:val="8"/>
              </w:rPr>
            </w:pPr>
          </w:p>
          <w:p w:rsidR="00D739DB"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 xml:space="preserve">Le taux des victimes routières augmenté de 14% comparé à la même </w:t>
            </w:r>
            <w:r>
              <w:rPr>
                <w:rFonts w:asciiTheme="minorHAnsi" w:hAnsiTheme="minorHAnsi"/>
                <w:szCs w:val="26"/>
              </w:rPr>
              <w:t xml:space="preserve">             </w:t>
            </w:r>
            <w:r w:rsidRPr="00D739DB">
              <w:rPr>
                <w:rFonts w:asciiTheme="minorHAnsi" w:hAnsiTheme="minorHAnsi"/>
                <w:szCs w:val="26"/>
              </w:rPr>
              <w:t>époque l'année dernière.</w:t>
            </w:r>
          </w:p>
          <w:p w:rsidR="00D739DB"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2015 en voie de devenir l'année la plus meurtrière depuis 2007.</w:t>
            </w:r>
          </w:p>
          <w:p w:rsidR="00D739DB"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Le Conseil de la Sécurité Routière explique qu'une économie plus saine augmente le nombre d'actifs qui se rendent au travail en voiture.</w:t>
            </w:r>
          </w:p>
          <w:p w:rsidR="00D739DB"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L'essence est 30% moins chère que l'année dernière en moyenne.</w:t>
            </w:r>
          </w:p>
          <w:p w:rsidR="00D739DB"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D'après une censure américaine, le conducteur moyen reste 50 minutes par jour au volant.</w:t>
            </w:r>
          </w:p>
          <w:p w:rsidR="00D739DB"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Les conducteurs passent 47 heures dans les embouteillages par an.</w:t>
            </w:r>
          </w:p>
          <w:p w:rsidR="00D739DB"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Ceci représente plus d'une semaine de vacances.</w:t>
            </w:r>
          </w:p>
          <w:p w:rsidR="00D739DB"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De nouvelles routes encouragent de nouveaux conducteurs.</w:t>
            </w:r>
          </w:p>
          <w:p w:rsidR="00D739DB"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Les transports en commun peuvent soulager le problème, mais pas l'éradiquer.</w:t>
            </w:r>
          </w:p>
          <w:p w:rsidR="00D739DB"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Les gens vont continuer à conduire, tant que c'est facile et bon marché.</w:t>
            </w:r>
          </w:p>
          <w:p w:rsidR="00D739DB"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Augmenter le prix de la circulation pourrait diminuer le nombre d'usagers.</w:t>
            </w:r>
          </w:p>
          <w:p w:rsidR="00B34F85" w:rsidRPr="00D739DB" w:rsidRDefault="00D739DB" w:rsidP="00D739DB">
            <w:pPr>
              <w:pStyle w:val="Standard"/>
              <w:numPr>
                <w:ilvl w:val="0"/>
                <w:numId w:val="4"/>
              </w:numPr>
              <w:rPr>
                <w:rFonts w:asciiTheme="minorHAnsi" w:hAnsiTheme="minorHAnsi"/>
                <w:szCs w:val="26"/>
              </w:rPr>
            </w:pPr>
            <w:r w:rsidRPr="00D739DB">
              <w:rPr>
                <w:rFonts w:asciiTheme="minorHAnsi" w:hAnsiTheme="minorHAnsi"/>
                <w:szCs w:val="26"/>
              </w:rPr>
              <w:t>Il faut</w:t>
            </w:r>
            <w:r>
              <w:rPr>
                <w:rFonts w:asciiTheme="minorHAnsi" w:hAnsiTheme="minorHAnsi"/>
                <w:szCs w:val="26"/>
              </w:rPr>
              <w:t xml:space="preserve"> trouver une solution rapidement</w:t>
            </w:r>
          </w:p>
          <w:p w:rsidR="00B34F85" w:rsidRPr="006A4F22" w:rsidRDefault="00B34F85" w:rsidP="00D739DB">
            <w:pPr>
              <w:spacing w:after="0" w:line="240" w:lineRule="auto"/>
              <w:ind w:left="284" w:right="345"/>
              <w:jc w:val="both"/>
              <w:rPr>
                <w:rFonts w:ascii="Times New Roman" w:hAnsi="Times New Roman"/>
                <w:i/>
                <w:color w:val="000000"/>
                <w:sz w:val="8"/>
                <w:szCs w:val="8"/>
              </w:rPr>
            </w:pPr>
          </w:p>
        </w:tc>
        <w:tc>
          <w:tcPr>
            <w:tcW w:w="475" w:type="dxa"/>
            <w:tcBorders>
              <w:top w:val="single" w:sz="4" w:space="0" w:color="067CA4"/>
              <w:left w:val="single" w:sz="8" w:space="0" w:color="E8509D"/>
              <w:bottom w:val="single" w:sz="4" w:space="0" w:color="067CA4"/>
              <w:right w:val="single" w:sz="2" w:space="0" w:color="E8509D"/>
            </w:tcBorders>
            <w:shd w:val="clear" w:color="auto" w:fill="D9D9D9"/>
            <w:vAlign w:val="center"/>
          </w:tcPr>
          <w:p w:rsidR="00B34F85" w:rsidRPr="006A4F22" w:rsidRDefault="00B34F85" w:rsidP="00D739DB">
            <w:pPr>
              <w:spacing w:after="0" w:line="240" w:lineRule="auto"/>
              <w:jc w:val="center"/>
              <w:rPr>
                <w:rFonts w:ascii="Times New Roman" w:hAnsi="Times New Roman"/>
                <w:b/>
                <w:color w:val="000000"/>
              </w:rPr>
            </w:pPr>
            <w:r>
              <w:rPr>
                <w:rFonts w:ascii="Times New Roman" w:hAnsi="Times New Roman"/>
                <w:b/>
                <w:color w:val="000000"/>
              </w:rPr>
              <w:t>16</w:t>
            </w:r>
          </w:p>
        </w:tc>
        <w:tc>
          <w:tcPr>
            <w:tcW w:w="475" w:type="dxa"/>
            <w:tcBorders>
              <w:left w:val="single" w:sz="2" w:space="0" w:color="E8509D"/>
            </w:tcBorders>
            <w:shd w:val="clear" w:color="auto" w:fill="BFBFBF"/>
            <w:vAlign w:val="center"/>
          </w:tcPr>
          <w:p w:rsidR="00B34F85" w:rsidRPr="006A4F22" w:rsidRDefault="00B34F85" w:rsidP="00D739DB">
            <w:pPr>
              <w:spacing w:after="0" w:line="240" w:lineRule="auto"/>
              <w:ind w:left="-64"/>
              <w:jc w:val="center"/>
              <w:rPr>
                <w:rFonts w:ascii="Times New Roman" w:hAnsi="Times New Roman"/>
                <w:b/>
                <w:color w:val="000000"/>
              </w:rPr>
            </w:pPr>
            <w:r>
              <w:rPr>
                <w:rFonts w:ascii="Times New Roman" w:hAnsi="Times New Roman"/>
                <w:b/>
                <w:color w:val="000000"/>
              </w:rPr>
              <w:t>20</w:t>
            </w:r>
          </w:p>
        </w:tc>
      </w:tr>
      <w:tr w:rsidR="00B34F85" w:rsidRPr="006A4F22" w:rsidTr="00D739DB">
        <w:trPr>
          <w:trHeight w:val="58"/>
        </w:trPr>
        <w:tc>
          <w:tcPr>
            <w:tcW w:w="1185" w:type="dxa"/>
            <w:tcBorders>
              <w:top w:val="single" w:sz="4" w:space="0" w:color="067CA4"/>
              <w:bottom w:val="single" w:sz="8" w:space="0" w:color="E8509D"/>
              <w:right w:val="single" w:sz="4" w:space="0" w:color="E8509D"/>
            </w:tcBorders>
            <w:shd w:val="clear" w:color="auto" w:fill="DAEEF3"/>
            <w:vAlign w:val="center"/>
          </w:tcPr>
          <w:p w:rsidR="00B34F85" w:rsidRDefault="00B34F85" w:rsidP="00D739DB">
            <w:pPr>
              <w:spacing w:after="0" w:line="240" w:lineRule="auto"/>
              <w:jc w:val="center"/>
              <w:rPr>
                <w:rFonts w:ascii="Times New Roman" w:hAnsi="Times New Roman"/>
                <w:b/>
                <w:sz w:val="20"/>
                <w:szCs w:val="20"/>
              </w:rPr>
            </w:pPr>
            <w:r w:rsidRPr="0022385A">
              <w:rPr>
                <w:rFonts w:ascii="Times New Roman" w:hAnsi="Times New Roman"/>
                <w:sz w:val="16"/>
                <w:szCs w:val="16"/>
              </w:rPr>
              <w:t>Éléments relevant du niveau</w:t>
            </w:r>
            <w:r w:rsidRPr="006A4F22">
              <w:rPr>
                <w:rFonts w:ascii="Times New Roman" w:hAnsi="Times New Roman"/>
                <w:b/>
                <w:sz w:val="20"/>
                <w:szCs w:val="20"/>
              </w:rPr>
              <w:t xml:space="preserve"> </w:t>
            </w:r>
          </w:p>
          <w:p w:rsidR="00B34F85" w:rsidRPr="006A4F22" w:rsidRDefault="00B34F85" w:rsidP="00D739DB">
            <w:pPr>
              <w:spacing w:after="0" w:line="240" w:lineRule="auto"/>
              <w:jc w:val="center"/>
              <w:rPr>
                <w:rFonts w:ascii="Times New Roman" w:hAnsi="Times New Roman"/>
                <w:color w:val="000000"/>
              </w:rPr>
            </w:pPr>
            <w:r w:rsidRPr="006A4F22">
              <w:rPr>
                <w:rFonts w:ascii="Times New Roman" w:hAnsi="Times New Roman"/>
                <w:b/>
                <w:sz w:val="24"/>
                <w:szCs w:val="20"/>
              </w:rPr>
              <w:t>B2</w:t>
            </w:r>
          </w:p>
        </w:tc>
        <w:tc>
          <w:tcPr>
            <w:tcW w:w="7996" w:type="dxa"/>
            <w:tcBorders>
              <w:left w:val="single" w:sz="4" w:space="0" w:color="E8509D"/>
              <w:right w:val="single" w:sz="8" w:space="0" w:color="E8509D"/>
            </w:tcBorders>
            <w:vAlign w:val="center"/>
          </w:tcPr>
          <w:p w:rsidR="00B34F85" w:rsidRDefault="00B34F85" w:rsidP="00D739DB">
            <w:pPr>
              <w:spacing w:after="0" w:line="240" w:lineRule="auto"/>
              <w:ind w:left="284" w:right="345"/>
              <w:jc w:val="both"/>
              <w:rPr>
                <w:rFonts w:ascii="Times New Roman" w:hAnsi="Times New Roman"/>
                <w:b/>
                <w:sz w:val="8"/>
                <w:szCs w:val="8"/>
              </w:rPr>
            </w:pPr>
          </w:p>
          <w:p w:rsidR="00D739DB" w:rsidRPr="00D739DB" w:rsidRDefault="00D739DB" w:rsidP="00D739DB">
            <w:pPr>
              <w:pStyle w:val="Standard"/>
              <w:numPr>
                <w:ilvl w:val="0"/>
                <w:numId w:val="6"/>
              </w:numPr>
              <w:rPr>
                <w:rFonts w:asciiTheme="minorHAnsi" w:hAnsiTheme="minorHAnsi"/>
                <w:szCs w:val="26"/>
              </w:rPr>
            </w:pPr>
            <w:r w:rsidRPr="00D739DB">
              <w:rPr>
                <w:rFonts w:asciiTheme="minorHAnsi" w:hAnsiTheme="minorHAnsi"/>
                <w:szCs w:val="26"/>
              </w:rPr>
              <w:t>Les 10 villes avec les pires bouchons aux USA.</w:t>
            </w:r>
          </w:p>
          <w:p w:rsidR="00D739DB" w:rsidRPr="00D739DB" w:rsidRDefault="00D739DB" w:rsidP="00D739DB">
            <w:pPr>
              <w:pStyle w:val="Standard"/>
              <w:numPr>
                <w:ilvl w:val="0"/>
                <w:numId w:val="6"/>
              </w:numPr>
              <w:rPr>
                <w:rFonts w:asciiTheme="minorHAnsi" w:hAnsiTheme="minorHAnsi"/>
                <w:szCs w:val="26"/>
              </w:rPr>
            </w:pPr>
            <w:r w:rsidRPr="00D739DB">
              <w:rPr>
                <w:rFonts w:asciiTheme="minorHAnsi" w:hAnsiTheme="minorHAnsi"/>
                <w:szCs w:val="26"/>
              </w:rPr>
              <w:t>Construire davantage d'infrastructure routière ne suffit pas.</w:t>
            </w:r>
          </w:p>
          <w:p w:rsidR="00D739DB" w:rsidRPr="00D739DB" w:rsidRDefault="00D739DB" w:rsidP="00D739DB">
            <w:pPr>
              <w:pStyle w:val="Standard"/>
              <w:numPr>
                <w:ilvl w:val="0"/>
                <w:numId w:val="6"/>
              </w:numPr>
              <w:rPr>
                <w:rFonts w:asciiTheme="minorHAnsi" w:hAnsiTheme="minorHAnsi"/>
                <w:szCs w:val="26"/>
              </w:rPr>
            </w:pPr>
            <w:r w:rsidRPr="00D739DB">
              <w:rPr>
                <w:rFonts w:asciiTheme="minorHAnsi" w:hAnsiTheme="minorHAnsi"/>
                <w:szCs w:val="26"/>
              </w:rPr>
              <w:t>Un plus grand réseau routier aggraverait les bouchons.</w:t>
            </w:r>
          </w:p>
          <w:p w:rsidR="00D739DB" w:rsidRPr="00D739DB" w:rsidRDefault="00D739DB" w:rsidP="00D739DB">
            <w:pPr>
              <w:pStyle w:val="Standard"/>
              <w:numPr>
                <w:ilvl w:val="0"/>
                <w:numId w:val="6"/>
              </w:numPr>
              <w:rPr>
                <w:rFonts w:asciiTheme="minorHAnsi" w:hAnsiTheme="minorHAnsi"/>
                <w:szCs w:val="26"/>
              </w:rPr>
            </w:pPr>
            <w:r w:rsidRPr="00D739DB">
              <w:rPr>
                <w:rFonts w:asciiTheme="minorHAnsi" w:hAnsiTheme="minorHAnsi"/>
                <w:szCs w:val="26"/>
              </w:rPr>
              <w:t>Une solution possible est de rendre payantes les routes chargées.</w:t>
            </w:r>
          </w:p>
          <w:p w:rsidR="00D739DB" w:rsidRPr="00D739DB" w:rsidRDefault="00D739DB" w:rsidP="00D739DB">
            <w:pPr>
              <w:pStyle w:val="Standard"/>
              <w:numPr>
                <w:ilvl w:val="0"/>
                <w:numId w:val="6"/>
              </w:numPr>
              <w:rPr>
                <w:rFonts w:asciiTheme="minorHAnsi" w:hAnsiTheme="minorHAnsi"/>
                <w:szCs w:val="26"/>
              </w:rPr>
            </w:pPr>
            <w:r w:rsidRPr="00D739DB">
              <w:rPr>
                <w:rFonts w:asciiTheme="minorHAnsi" w:hAnsiTheme="minorHAnsi"/>
                <w:szCs w:val="26"/>
              </w:rPr>
              <w:t>Les embouteillages coûtent $1,700 à chaque contribuable américain chaque année.</w:t>
            </w:r>
          </w:p>
          <w:p w:rsidR="00D739DB" w:rsidRPr="00D739DB" w:rsidRDefault="00D739DB" w:rsidP="00D739DB">
            <w:pPr>
              <w:pStyle w:val="Standard"/>
              <w:numPr>
                <w:ilvl w:val="0"/>
                <w:numId w:val="6"/>
              </w:numPr>
              <w:rPr>
                <w:rFonts w:asciiTheme="minorHAnsi" w:hAnsiTheme="minorHAnsi"/>
                <w:szCs w:val="26"/>
              </w:rPr>
            </w:pPr>
            <w:r w:rsidRPr="00D739DB">
              <w:rPr>
                <w:rFonts w:asciiTheme="minorHAnsi" w:hAnsiTheme="minorHAnsi"/>
                <w:szCs w:val="26"/>
              </w:rPr>
              <w:t>Dans 15 ans, le coût à chaque contribuable américain s'élèverait à $2,300.</w:t>
            </w:r>
          </w:p>
          <w:p w:rsidR="00B34F85" w:rsidRPr="00D739DB" w:rsidRDefault="00D739DB" w:rsidP="00D739DB">
            <w:pPr>
              <w:pStyle w:val="Standard"/>
              <w:numPr>
                <w:ilvl w:val="0"/>
                <w:numId w:val="6"/>
              </w:numPr>
              <w:rPr>
                <w:rFonts w:asciiTheme="minorHAnsi" w:hAnsiTheme="minorHAnsi"/>
                <w:szCs w:val="26"/>
              </w:rPr>
            </w:pPr>
            <w:r w:rsidRPr="00D739DB">
              <w:rPr>
                <w:rFonts w:asciiTheme="minorHAnsi" w:hAnsiTheme="minorHAnsi"/>
                <w:szCs w:val="26"/>
              </w:rPr>
              <w:t>Les sources sont : Les ingénieurs du génie civil.</w:t>
            </w:r>
            <w:r>
              <w:rPr>
                <w:rFonts w:asciiTheme="minorHAnsi" w:hAnsiTheme="minorHAnsi"/>
                <w:szCs w:val="26"/>
              </w:rPr>
              <w:t xml:space="preserve"> </w:t>
            </w:r>
            <w:r w:rsidRPr="00D739DB">
              <w:rPr>
                <w:rFonts w:asciiTheme="minorHAnsi" w:hAnsiTheme="minorHAnsi"/>
                <w:szCs w:val="26"/>
              </w:rPr>
              <w:t>Le conseil de la sécurité routière.</w:t>
            </w:r>
          </w:p>
        </w:tc>
        <w:tc>
          <w:tcPr>
            <w:tcW w:w="475" w:type="dxa"/>
            <w:tcBorders>
              <w:top w:val="single" w:sz="4" w:space="0" w:color="067CA4"/>
              <w:left w:val="single" w:sz="8" w:space="0" w:color="E8509D"/>
              <w:bottom w:val="single" w:sz="8" w:space="0" w:color="E8509D"/>
              <w:right w:val="single" w:sz="2" w:space="0" w:color="E8509D"/>
            </w:tcBorders>
            <w:shd w:val="clear" w:color="auto" w:fill="D9D9D9"/>
            <w:vAlign w:val="center"/>
          </w:tcPr>
          <w:p w:rsidR="00B34F85" w:rsidRPr="006A4F22" w:rsidRDefault="00B34F85" w:rsidP="00D739DB">
            <w:pPr>
              <w:spacing w:after="0" w:line="240" w:lineRule="auto"/>
              <w:jc w:val="center"/>
              <w:rPr>
                <w:rFonts w:ascii="Times New Roman" w:hAnsi="Times New Roman"/>
                <w:b/>
                <w:color w:val="000000"/>
              </w:rPr>
            </w:pPr>
            <w:r>
              <w:rPr>
                <w:rFonts w:ascii="Times New Roman" w:hAnsi="Times New Roman"/>
                <w:b/>
                <w:color w:val="000000"/>
              </w:rPr>
              <w:t>20</w:t>
            </w:r>
          </w:p>
        </w:tc>
        <w:tc>
          <w:tcPr>
            <w:tcW w:w="475" w:type="dxa"/>
            <w:tcBorders>
              <w:left w:val="single" w:sz="2" w:space="0" w:color="E8509D"/>
            </w:tcBorders>
            <w:shd w:val="clear" w:color="auto" w:fill="BFBFBF"/>
            <w:vAlign w:val="center"/>
          </w:tcPr>
          <w:p w:rsidR="00B34F85" w:rsidRPr="006A4F22" w:rsidRDefault="00B34F85" w:rsidP="00D739DB">
            <w:pPr>
              <w:spacing w:after="0" w:line="240" w:lineRule="auto"/>
              <w:ind w:left="-64"/>
              <w:jc w:val="center"/>
              <w:rPr>
                <w:rFonts w:ascii="Times New Roman" w:hAnsi="Times New Roman"/>
                <w:color w:val="000000"/>
              </w:rPr>
            </w:pPr>
          </w:p>
        </w:tc>
      </w:tr>
    </w:tbl>
    <w:p w:rsidR="00B34F85" w:rsidRPr="000C7982" w:rsidRDefault="000C7982">
      <w:pPr>
        <w:rPr>
          <w:lang w:val="en-US"/>
        </w:rPr>
      </w:pPr>
      <w:hyperlink r:id="rId6" w:history="1">
        <w:r w:rsidRPr="000C7982">
          <w:rPr>
            <w:rStyle w:val="Lienhypertexte"/>
            <w:lang w:val="en-US"/>
          </w:rPr>
          <w:t>https://www.dropbox.com/s/bsyq2qo2bhzmy9n/Traffic%20deaths08_18_15.mp4?dl=0</w:t>
        </w:r>
      </w:hyperlink>
      <w:r w:rsidRPr="000C7982">
        <w:rPr>
          <w:lang w:val="en-US"/>
        </w:rPr>
        <w:t xml:space="preserve"> </w:t>
      </w:r>
      <w:bookmarkStart w:id="0" w:name="_GoBack"/>
      <w:bookmarkEnd w:id="0"/>
    </w:p>
    <w:p w:rsidR="000C7982" w:rsidRPr="000C7982" w:rsidRDefault="000C7982">
      <w:pPr>
        <w:rPr>
          <w:lang w:val="en-US"/>
        </w:rPr>
      </w:pPr>
    </w:p>
    <w:p w:rsidR="000C7982" w:rsidRPr="000C7982" w:rsidRDefault="000C7982">
      <w:pPr>
        <w:rPr>
          <w:lang w:val="en-US"/>
        </w:rPr>
      </w:pPr>
    </w:p>
    <w:p w:rsidR="000C7982" w:rsidRPr="000C7982" w:rsidRDefault="000C7982">
      <w:pPr>
        <w:rPr>
          <w:lang w:val="en-US"/>
        </w:rPr>
      </w:pPr>
    </w:p>
    <w:p w:rsidR="000C7982" w:rsidRPr="000C7982" w:rsidRDefault="000C7982">
      <w:pPr>
        <w:rPr>
          <w:lang w:val="en-US"/>
        </w:rPr>
      </w:pPr>
    </w:p>
    <w:p w:rsidR="000C7982" w:rsidRPr="000C7982" w:rsidRDefault="000C7982" w:rsidP="000C7982">
      <w:pPr>
        <w:spacing w:after="0" w:line="240" w:lineRule="auto"/>
        <w:jc w:val="center"/>
        <w:rPr>
          <w:b/>
          <w:sz w:val="36"/>
          <w:lang w:val="en-US"/>
        </w:rPr>
      </w:pPr>
      <w:r w:rsidRPr="000C7982">
        <w:rPr>
          <w:b/>
          <w:sz w:val="36"/>
          <w:lang w:val="en-US"/>
        </w:rPr>
        <w:lastRenderedPageBreak/>
        <w:t>TRAFFIC DEATHS</w:t>
      </w:r>
    </w:p>
    <w:p w:rsidR="000C7982" w:rsidRPr="000C7982" w:rsidRDefault="000C7982" w:rsidP="000C7982">
      <w:pPr>
        <w:spacing w:after="0" w:line="240" w:lineRule="auto"/>
        <w:rPr>
          <w:sz w:val="24"/>
          <w:lang w:val="en-US"/>
        </w:rPr>
      </w:pPr>
    </w:p>
    <w:p w:rsidR="000C7982" w:rsidRPr="000C7982" w:rsidRDefault="000C7982" w:rsidP="000C7982">
      <w:pPr>
        <w:spacing w:after="0" w:line="240" w:lineRule="auto"/>
        <w:jc w:val="both"/>
        <w:rPr>
          <w:sz w:val="24"/>
          <w:lang w:val="en-US"/>
        </w:rPr>
      </w:pPr>
      <w:r w:rsidRPr="000C7982">
        <w:rPr>
          <w:sz w:val="24"/>
          <w:lang w:val="en-US"/>
        </w:rPr>
        <w:t>Traffic deaths are 14 percent higher this year than at this time last year. That`s according to the National Safety Council. It says 2015 is on pace to be the deadliest year for drivers since 2007. Why? The council says as the U.S. economy improves, more people have jobs and are driving to them. Gas prices are also likely factor. They`re 30 percent lower on average than last year, which makes it cheaper to drive. Of course, all that affects traffic, too.</w:t>
      </w:r>
    </w:p>
    <w:p w:rsidR="000C7982" w:rsidRPr="000C7982" w:rsidRDefault="000C7982" w:rsidP="000C7982">
      <w:pPr>
        <w:spacing w:after="0" w:line="240" w:lineRule="auto"/>
        <w:jc w:val="both"/>
        <w:rPr>
          <w:sz w:val="24"/>
          <w:lang w:val="en-US"/>
        </w:rPr>
      </w:pPr>
    </w:p>
    <w:p w:rsidR="000C7982" w:rsidRPr="000C7982" w:rsidRDefault="000C7982" w:rsidP="000C7982">
      <w:pPr>
        <w:spacing w:after="0" w:line="240" w:lineRule="auto"/>
        <w:jc w:val="both"/>
        <w:rPr>
          <w:sz w:val="24"/>
          <w:lang w:val="en-US"/>
        </w:rPr>
      </w:pPr>
      <w:r w:rsidRPr="000C7982">
        <w:rPr>
          <w:sz w:val="24"/>
          <w:lang w:val="en-US"/>
        </w:rPr>
        <w:br/>
        <w:t xml:space="preserve">REPORTER: </w:t>
      </w:r>
      <w:r w:rsidRPr="000C7982">
        <w:rPr>
          <w:sz w:val="24"/>
          <w:lang w:val="en-US"/>
        </w:rPr>
        <w:tab/>
        <w:t xml:space="preserve">“The time you spent stuck in traffic each year depends a lot on your daily commute. According to the U.S. Census, the average spends 50 minutes </w:t>
      </w:r>
      <w:r w:rsidRPr="000C7982">
        <w:rPr>
          <w:sz w:val="24"/>
          <w:lang w:val="en-US"/>
        </w:rPr>
        <w:tab/>
        <w:t>commuting to and from work every day. Traffic makes it worse. Drivers in the 10 worst congested U.S. cities waste about 47 hours in traffic each year. That`s more than a week`s vacation time. So, what`s the solution? Experts say building our way out of congestion won`t work. In fact, studies show building bigger roads actually makes traffic worse. New road just create new drivers. Public transportation can help but some urban engineers say it won`t fix the problem. Another potential solution is to charge people to drive on congested routes. Experts believe people will continue to drive as long as it`s easy and cheap. Increasing the cost could reduce the number of cars in the road. Whatever the solution, let`s hope it comes soon. According to NREX (</w:t>
      </w:r>
      <w:proofErr w:type="spellStart"/>
      <w:r w:rsidRPr="000C7982">
        <w:rPr>
          <w:sz w:val="24"/>
          <w:lang w:val="en-US"/>
        </w:rPr>
        <w:t>ph</w:t>
      </w:r>
      <w:proofErr w:type="spellEnd"/>
      <w:r w:rsidRPr="000C7982">
        <w:rPr>
          <w:sz w:val="24"/>
          <w:lang w:val="en-US"/>
        </w:rPr>
        <w:t>), traffic costs American families about $1,700 each year. That cost is expected to rise to $2,300 in just 15 years.”</w:t>
      </w:r>
    </w:p>
    <w:p w:rsidR="000C7982" w:rsidRPr="000C7982" w:rsidRDefault="000C7982" w:rsidP="000C7982">
      <w:pPr>
        <w:spacing w:after="0" w:line="240" w:lineRule="auto"/>
        <w:jc w:val="both"/>
        <w:rPr>
          <w:sz w:val="24"/>
          <w:lang w:val="en-US"/>
        </w:rPr>
      </w:pPr>
    </w:p>
    <w:p w:rsidR="000C7982" w:rsidRPr="000C7982" w:rsidRDefault="000C7982" w:rsidP="000C7982">
      <w:pPr>
        <w:spacing w:after="0" w:line="240" w:lineRule="auto"/>
        <w:jc w:val="right"/>
        <w:rPr>
          <w:sz w:val="24"/>
          <w:lang w:val="en-US"/>
        </w:rPr>
      </w:pPr>
      <w:r w:rsidRPr="000C7982">
        <w:rPr>
          <w:sz w:val="24"/>
          <w:lang w:val="en-US"/>
        </w:rPr>
        <w:t>CNN Student News</w:t>
      </w:r>
    </w:p>
    <w:p w:rsidR="000C7982" w:rsidRPr="000C7982" w:rsidRDefault="000C7982" w:rsidP="000C7982">
      <w:pPr>
        <w:spacing w:after="0" w:line="240" w:lineRule="auto"/>
        <w:jc w:val="right"/>
        <w:rPr>
          <w:sz w:val="24"/>
          <w:lang w:val="en-US"/>
        </w:rPr>
      </w:pPr>
      <w:r w:rsidRPr="000C7982">
        <w:rPr>
          <w:sz w:val="24"/>
          <w:lang w:val="en-US"/>
        </w:rPr>
        <w:t>18-08-2015</w:t>
      </w:r>
    </w:p>
    <w:p w:rsidR="000C7982" w:rsidRPr="000C7982" w:rsidRDefault="000C7982" w:rsidP="000C7982">
      <w:pPr>
        <w:spacing w:after="0" w:line="240" w:lineRule="auto"/>
        <w:jc w:val="both"/>
        <w:rPr>
          <w:sz w:val="24"/>
          <w:lang w:val="en-US"/>
        </w:rPr>
      </w:pPr>
    </w:p>
    <w:p w:rsidR="000C7982" w:rsidRDefault="000C7982"/>
    <w:sectPr w:rsidR="000C7982" w:rsidSect="00B34F85">
      <w:pgSz w:w="11910" w:h="16840"/>
      <w:pgMar w:top="720" w:right="720" w:bottom="720" w:left="720" w:header="743" w:footer="1179" w:gutter="284"/>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7F5"/>
    <w:multiLevelType w:val="hybridMultilevel"/>
    <w:tmpl w:val="5986BA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692D41"/>
    <w:multiLevelType w:val="multilevel"/>
    <w:tmpl w:val="807EDEA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52C4060"/>
    <w:multiLevelType w:val="multilevel"/>
    <w:tmpl w:val="CA2CAD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50E7634"/>
    <w:multiLevelType w:val="multilevel"/>
    <w:tmpl w:val="EC889DD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E1B4DEE"/>
    <w:multiLevelType w:val="hybridMultilevel"/>
    <w:tmpl w:val="B0FC2C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1C85227"/>
    <w:multiLevelType w:val="hybridMultilevel"/>
    <w:tmpl w:val="F3A838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85"/>
    <w:rsid w:val="000C7982"/>
    <w:rsid w:val="00203E64"/>
    <w:rsid w:val="00337B74"/>
    <w:rsid w:val="00773064"/>
    <w:rsid w:val="007B34F0"/>
    <w:rsid w:val="00AF168D"/>
    <w:rsid w:val="00B34F85"/>
    <w:rsid w:val="00D739DB"/>
    <w:rsid w:val="00DC0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34F85"/>
    <w:pPr>
      <w:spacing w:after="0" w:line="240" w:lineRule="auto"/>
    </w:pPr>
  </w:style>
  <w:style w:type="paragraph" w:customStyle="1" w:styleId="Standard">
    <w:name w:val="Standard"/>
    <w:rsid w:val="00D739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0C79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34F85"/>
    <w:pPr>
      <w:spacing w:after="0" w:line="240" w:lineRule="auto"/>
    </w:pPr>
  </w:style>
  <w:style w:type="paragraph" w:customStyle="1" w:styleId="Standard">
    <w:name w:val="Standard"/>
    <w:rsid w:val="00D739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0C7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bsyq2qo2bhzmy9n/Traffic%20deaths08_18_15.mp4?dl=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3102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Ch.Nardot</cp:lastModifiedBy>
  <cp:revision>2</cp:revision>
  <cp:lastPrinted>2016-02-07T19:06:00Z</cp:lastPrinted>
  <dcterms:created xsi:type="dcterms:W3CDTF">2016-04-02T11:16:00Z</dcterms:created>
  <dcterms:modified xsi:type="dcterms:W3CDTF">2016-04-02T11:16:00Z</dcterms:modified>
</cp:coreProperties>
</file>