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BF" w:rsidRDefault="00AD52BF" w:rsidP="00512D40">
      <w:pPr>
        <w:spacing w:line="360" w:lineRule="auto"/>
        <w:jc w:val="center"/>
        <w:rPr>
          <w:rFonts w:ascii="Arial" w:hAnsi="Arial" w:cs="Arial"/>
          <w:color w:val="0A0A0A"/>
          <w:sz w:val="28"/>
          <w:szCs w:val="24"/>
          <w:shd w:val="clear" w:color="auto" w:fill="FFFFFF"/>
        </w:rPr>
      </w:pPr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International Migrants Day,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December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18, 2015.</w:t>
      </w:r>
    </w:p>
    <w:p w:rsidR="0027273D" w:rsidRDefault="0027273D" w:rsidP="00512D40">
      <w:pPr>
        <w:spacing w:line="360" w:lineRule="auto"/>
        <w:jc w:val="center"/>
        <w:rPr>
          <w:rFonts w:ascii="Arial" w:hAnsi="Arial" w:cs="Arial"/>
          <w:color w:val="0A0A0A"/>
          <w:sz w:val="28"/>
          <w:szCs w:val="24"/>
          <w:shd w:val="clear" w:color="auto" w:fill="FFFFFF"/>
        </w:rPr>
      </w:pPr>
      <w:hyperlink r:id="rId5" w:history="1">
        <w:r w:rsidRPr="005F0568">
          <w:rPr>
            <w:rStyle w:val="Lienhypertexte"/>
            <w:rFonts w:ascii="Arial" w:hAnsi="Arial" w:cs="Arial"/>
            <w:sz w:val="28"/>
            <w:szCs w:val="24"/>
            <w:shd w:val="clear" w:color="auto" w:fill="FFFFFF"/>
          </w:rPr>
          <w:t>https://www.youtube.com/watch?v=QggXzHn90S0</w:t>
        </w:r>
      </w:hyperlink>
    </w:p>
    <w:p w:rsidR="00AD52BF" w:rsidRPr="00A21F80" w:rsidRDefault="00AD52BF" w:rsidP="00A21F80">
      <w:pPr>
        <w:spacing w:line="360" w:lineRule="auto"/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</w:pPr>
      <w:proofErr w:type="spellStart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Deputy</w:t>
      </w:r>
      <w:proofErr w:type="spellEnd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Assistant </w:t>
      </w:r>
      <w:proofErr w:type="spellStart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Secretary</w:t>
      </w:r>
      <w:proofErr w:type="spellEnd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of State for the Bureau of Population, </w:t>
      </w:r>
      <w:proofErr w:type="spellStart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Refugees</w:t>
      </w:r>
      <w:proofErr w:type="spellEnd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, and Migration Catherine </w:t>
      </w:r>
      <w:proofErr w:type="spellStart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Wiesner</w:t>
      </w:r>
      <w:proofErr w:type="spellEnd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delivers</w:t>
      </w:r>
      <w:proofErr w:type="spellEnd"/>
      <w:r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a message on International Migrant</w:t>
      </w:r>
      <w:r w:rsidR="00A21F80"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s Day </w:t>
      </w:r>
      <w:proofErr w:type="spellStart"/>
      <w:r w:rsidR="00A21F80"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at</w:t>
      </w:r>
      <w:proofErr w:type="spellEnd"/>
      <w:r w:rsidR="00A21F80"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="00A21F80"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>Department</w:t>
      </w:r>
      <w:proofErr w:type="spellEnd"/>
      <w:r w:rsidR="00A21F80" w:rsidRPr="00A21F80">
        <w:rPr>
          <w:rFonts w:ascii="Arial" w:hAnsi="Arial" w:cs="Arial"/>
          <w:b/>
          <w:color w:val="0A0A0A"/>
          <w:sz w:val="28"/>
          <w:szCs w:val="24"/>
          <w:shd w:val="clear" w:color="auto" w:fill="FFFFFF"/>
        </w:rPr>
        <w:t xml:space="preserve"> of State </w:t>
      </w:r>
    </w:p>
    <w:p w:rsidR="00911C1B" w:rsidRPr="00A21F80" w:rsidRDefault="00AD52BF" w:rsidP="00C10044">
      <w:pPr>
        <w:spacing w:after="120" w:line="360" w:lineRule="auto"/>
        <w:jc w:val="both"/>
        <w:rPr>
          <w:rFonts w:ascii="Arial" w:hAnsi="Arial" w:cs="Arial"/>
          <w:sz w:val="28"/>
          <w:szCs w:val="24"/>
        </w:rPr>
      </w:pPr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"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Today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is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 International Migrants Day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when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we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pay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tribute to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those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who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venture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abroad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in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search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of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safety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,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dignity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, and a </w:t>
      </w:r>
      <w:proofErr w:type="spellStart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>better</w:t>
      </w:r>
      <w:proofErr w:type="spellEnd"/>
      <w:r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life.</w:t>
      </w:r>
      <w:r w:rsidR="00A21F80" w:rsidRPr="00A21F80">
        <w:rPr>
          <w:rFonts w:ascii="Arial" w:hAnsi="Arial" w:cs="Arial"/>
          <w:color w:val="0A0A0A"/>
          <w:sz w:val="28"/>
          <w:szCs w:val="24"/>
          <w:shd w:val="clear" w:color="auto" w:fill="FFFFFF"/>
        </w:rPr>
        <w:t xml:space="preserve"> </w:t>
      </w:r>
    </w:p>
    <w:p w:rsidR="00A21F80" w:rsidRPr="00A21F80" w:rsidRDefault="00A21F80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  <w:proofErr w:type="spellStart"/>
      <w:r w:rsidRPr="00A21F80">
        <w:rPr>
          <w:rFonts w:ascii="Arial" w:hAnsi="Arial" w:cs="Arial"/>
          <w:color w:val="000000" w:themeColor="text1"/>
          <w:sz w:val="28"/>
        </w:rPr>
        <w:t>Refugee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and migration </w:t>
      </w:r>
      <w:r>
        <w:rPr>
          <w:rFonts w:ascii="Arial" w:hAnsi="Arial" w:cs="Arial"/>
          <w:color w:val="000000" w:themeColor="text1"/>
          <w:sz w:val="28"/>
        </w:rPr>
        <w:t>crises</w:t>
      </w:r>
      <w:r w:rsidRPr="00A21F80">
        <w:rPr>
          <w:rFonts w:ascii="Arial" w:hAnsi="Arial" w:cs="Arial"/>
          <w:color w:val="000000" w:themeColor="text1"/>
          <w:sz w:val="28"/>
        </w:rPr>
        <w:t xml:space="preserve"> have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captured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the attention of the world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this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year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In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recent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months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have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witnessed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migrants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packed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into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flimsy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rubber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dinghies, parents passing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young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babies over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barbed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wire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and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lines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of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desperate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people trekking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unimaginable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distances.</w:t>
      </w:r>
    </w:p>
    <w:p w:rsidR="00A21F80" w:rsidRPr="00A21F80" w:rsidRDefault="00A21F80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  <w:proofErr w:type="spellStart"/>
      <w:r w:rsidRPr="00A21F80">
        <w:rPr>
          <w:rFonts w:ascii="Arial" w:hAnsi="Arial" w:cs="Arial"/>
          <w:color w:val="000000" w:themeColor="text1"/>
          <w:sz w:val="28"/>
        </w:rPr>
        <w:t>Whether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they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are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escaping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war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poverty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or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simply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seeking</w:t>
      </w:r>
      <w:proofErr w:type="spellEnd"/>
      <w:r w:rsidR="00C10044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C10044">
        <w:rPr>
          <w:rFonts w:ascii="Arial" w:hAnsi="Arial" w:cs="Arial"/>
          <w:color w:val="000000" w:themeColor="text1"/>
          <w:sz w:val="28"/>
        </w:rPr>
        <w:t>opportunity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quests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on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which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migrant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embark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can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benefit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everyone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from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families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back home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that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rely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on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their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earnings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to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employers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abroad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who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need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their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energy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and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skill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In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fact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remittances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that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migrants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send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home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provide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more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resources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to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many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of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world’s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poorest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nations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official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development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assistance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does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And in countries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with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labor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shortages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or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aging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populations, migrants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can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propel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economies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forward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>.</w:t>
      </w:r>
    </w:p>
    <w:p w:rsidR="00A21F80" w:rsidRDefault="00A21F80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  <w:r w:rsidRPr="00A21F80">
        <w:rPr>
          <w:rFonts w:ascii="Arial" w:hAnsi="Arial" w:cs="Arial"/>
          <w:color w:val="000000" w:themeColor="text1"/>
          <w:sz w:val="28"/>
        </w:rPr>
        <w:t xml:space="preserve">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vast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majority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of the more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200 million people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who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migrate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each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year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make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the trip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legally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But for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many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others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legal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channels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aren’t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accessible. So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they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make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difficult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decisions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to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travel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without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documents, and live and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work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in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shadows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vulnerable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to exploitation and abuse. Migrants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who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attempt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perilous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journeys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have been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detained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tortured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or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kidnapped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This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year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alone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more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3600 men,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women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and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children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died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tragically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attempting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to cross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Mediterranean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Sea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Regardless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of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their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legal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status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, all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deserve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to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be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protected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and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treated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humanely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. And all countries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should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help, not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just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the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ones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next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A21F80">
        <w:rPr>
          <w:rFonts w:ascii="Arial" w:hAnsi="Arial" w:cs="Arial"/>
          <w:color w:val="000000" w:themeColor="text1"/>
          <w:sz w:val="28"/>
        </w:rPr>
        <w:t>door</w:t>
      </w:r>
      <w:proofErr w:type="spellEnd"/>
      <w:r w:rsidRPr="00A21F80">
        <w:rPr>
          <w:rFonts w:ascii="Arial" w:hAnsi="Arial" w:cs="Arial"/>
          <w:color w:val="000000" w:themeColor="text1"/>
          <w:sz w:val="28"/>
        </w:rPr>
        <w:t>.</w:t>
      </w:r>
    </w:p>
    <w:p w:rsidR="00B10382" w:rsidRDefault="00B10382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</w:p>
    <w:p w:rsidR="00B10382" w:rsidRDefault="00B10382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</w:p>
    <w:p w:rsidR="00B10382" w:rsidRDefault="00B10382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</w:p>
    <w:p w:rsidR="00B10382" w:rsidRDefault="00B10382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</w:p>
    <w:p w:rsidR="00B10382" w:rsidRDefault="00B10382" w:rsidP="00C1004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</w:rPr>
      </w:pPr>
    </w:p>
    <w:tbl>
      <w:tblPr>
        <w:tblStyle w:val="Grilledutableau"/>
        <w:tblW w:w="10456" w:type="dxa"/>
        <w:tblLook w:val="04A0"/>
      </w:tblPr>
      <w:tblGrid>
        <w:gridCol w:w="1503"/>
        <w:gridCol w:w="8953"/>
      </w:tblGrid>
      <w:tr w:rsidR="00B10382" w:rsidTr="00512D40">
        <w:tc>
          <w:tcPr>
            <w:tcW w:w="10456" w:type="dxa"/>
            <w:gridSpan w:val="2"/>
          </w:tcPr>
          <w:p w:rsidR="00B10382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>BAREME   / 20</w:t>
            </w:r>
          </w:p>
        </w:tc>
      </w:tr>
      <w:tr w:rsidR="00B10382" w:rsidTr="00512D40">
        <w:tc>
          <w:tcPr>
            <w:tcW w:w="1503" w:type="dxa"/>
          </w:tcPr>
          <w:p w:rsidR="00512D40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A1 : </w:t>
            </w:r>
          </w:p>
          <w:p w:rsidR="00B10382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>6 points</w:t>
            </w:r>
          </w:p>
          <w:p w:rsidR="00B10382" w:rsidRPr="00512D40" w:rsidRDefault="00B10382" w:rsidP="00512D40">
            <w:pPr>
              <w:pStyle w:val="NormalWeb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3" w:type="dxa"/>
          </w:tcPr>
          <w:p w:rsidR="00B10382" w:rsidRPr="00512D40" w:rsidRDefault="00B10382" w:rsidP="00512D40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</w:pPr>
            <w:proofErr w:type="spellStart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>Deputy</w:t>
            </w:r>
            <w:proofErr w:type="spellEnd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 xml:space="preserve"> Assistant </w:t>
            </w:r>
            <w:proofErr w:type="spellStart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>Secretary</w:t>
            </w:r>
            <w:proofErr w:type="spellEnd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 xml:space="preserve"> of State for the Bureau of Population, </w:t>
            </w:r>
            <w:proofErr w:type="spellStart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>Refugees</w:t>
            </w:r>
            <w:proofErr w:type="spellEnd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 xml:space="preserve">, and Migration Catherine </w:t>
            </w:r>
            <w:proofErr w:type="spellStart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>Wiesner</w:t>
            </w:r>
            <w:proofErr w:type="spellEnd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>delivers</w:t>
            </w:r>
            <w:proofErr w:type="spellEnd"/>
            <w:r w:rsidRPr="00512D40">
              <w:rPr>
                <w:rFonts w:ascii="Arial" w:hAnsi="Arial" w:cs="Arial"/>
                <w:b/>
                <w:color w:val="0A0A0A"/>
                <w:sz w:val="24"/>
                <w:szCs w:val="24"/>
                <w:shd w:val="clear" w:color="auto" w:fill="FFFFFF"/>
              </w:rPr>
              <w:t xml:space="preserve"> a message on International Migrants Day. </w:t>
            </w:r>
          </w:p>
          <w:p w:rsidR="00B10382" w:rsidRPr="00512D40" w:rsidRDefault="00512D40" w:rsidP="00512D40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Today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is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 International Migrants Day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they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are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escaping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war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poverty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or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simply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seeking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opportunity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>,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Migrants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who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attempt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perilous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journeys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have been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detained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tortured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or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kidnapped</w:t>
            </w:r>
            <w:proofErr w:type="spellEnd"/>
          </w:p>
        </w:tc>
      </w:tr>
      <w:tr w:rsidR="00B10382" w:rsidTr="00512D40">
        <w:tc>
          <w:tcPr>
            <w:tcW w:w="1503" w:type="dxa"/>
          </w:tcPr>
          <w:p w:rsidR="00512D40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A2 : </w:t>
            </w:r>
          </w:p>
          <w:p w:rsidR="00B10382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>10 points</w:t>
            </w:r>
          </w:p>
          <w:p w:rsidR="00B10382" w:rsidRPr="00512D40" w:rsidRDefault="00B10382" w:rsidP="00512D40">
            <w:pPr>
              <w:pStyle w:val="NormalWeb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3" w:type="dxa"/>
          </w:tcPr>
          <w:p w:rsidR="00B10382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we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pay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tribute to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those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who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venture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abroad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in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search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of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safety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,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dignity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, and a </w:t>
            </w:r>
            <w:proofErr w:type="spellStart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>better</w:t>
            </w:r>
            <w:proofErr w:type="spellEnd"/>
            <w:r w:rsidRPr="00512D40">
              <w:rPr>
                <w:rFonts w:ascii="Arial" w:hAnsi="Arial" w:cs="Arial"/>
                <w:color w:val="0A0A0A"/>
                <w:shd w:val="clear" w:color="auto" w:fill="FFFFFF"/>
              </w:rPr>
              <w:t xml:space="preserve"> life.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Refugee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and migration crises have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captured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the attention of the world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quests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on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which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migrant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embark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benefit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everyone</w:t>
            </w:r>
            <w:proofErr w:type="spellEnd"/>
          </w:p>
          <w:p w:rsidR="00512D40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vast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majority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of the more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200 million people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who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migrate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each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year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make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the trip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legally</w:t>
            </w:r>
            <w:proofErr w:type="spellEnd"/>
          </w:p>
          <w:p w:rsidR="00512D40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But for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many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others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legal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channels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aren’t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accessible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This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year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alone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more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3600 men,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women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and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children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died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tragically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attempting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to cross 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Mediterranean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Sea</w:t>
            </w:r>
            <w:proofErr w:type="spellEnd"/>
          </w:p>
        </w:tc>
      </w:tr>
      <w:tr w:rsidR="00B10382" w:rsidTr="00512D40">
        <w:tc>
          <w:tcPr>
            <w:tcW w:w="1503" w:type="dxa"/>
          </w:tcPr>
          <w:p w:rsidR="00512D40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B1 :  </w:t>
            </w:r>
          </w:p>
          <w:p w:rsidR="00B10382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>16 points</w:t>
            </w:r>
          </w:p>
          <w:p w:rsidR="00B10382" w:rsidRPr="00512D40" w:rsidRDefault="00B10382" w:rsidP="00512D40">
            <w:pPr>
              <w:pStyle w:val="NormalWeb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3" w:type="dxa"/>
          </w:tcPr>
          <w:p w:rsidR="00B10382" w:rsidRPr="00512D40" w:rsidRDefault="00512D40" w:rsidP="00512D4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In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recent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months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have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witnessed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migrants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packed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into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flimsy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rubber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dinghies, parents passing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young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babies over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barbed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wire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and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lines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of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desperate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people trekking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unimaginable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distances.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quests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on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which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migrant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embark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benefit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everyone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from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families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back home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that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rely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on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their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earnings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to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employers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abroad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who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need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their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energy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and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skill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>.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they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make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difficult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decisions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to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travel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without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documents, and live and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work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in 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shadows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vulnerable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to exploitation and abuse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Regardless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of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their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legal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status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, all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deserve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to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be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protected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and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treated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humanely</w:t>
            </w:r>
            <w:proofErr w:type="spellEnd"/>
          </w:p>
          <w:p w:rsidR="00512D40" w:rsidRPr="00512D40" w:rsidRDefault="00512D40" w:rsidP="00512D4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And all countries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should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help, not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just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ones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next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door</w:t>
            </w:r>
            <w:proofErr w:type="spellEnd"/>
          </w:p>
        </w:tc>
      </w:tr>
      <w:tr w:rsidR="00B10382" w:rsidTr="00512D40">
        <w:tc>
          <w:tcPr>
            <w:tcW w:w="1503" w:type="dxa"/>
          </w:tcPr>
          <w:p w:rsidR="00512D40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B2 : </w:t>
            </w:r>
          </w:p>
          <w:p w:rsidR="00B10382" w:rsidRPr="00512D40" w:rsidRDefault="00B10382" w:rsidP="00512D40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>20</w:t>
            </w:r>
            <w:r w:rsidR="00512D40"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12D40">
              <w:rPr>
                <w:rFonts w:ascii="Arial" w:hAnsi="Arial" w:cs="Arial"/>
                <w:color w:val="000000" w:themeColor="text1"/>
              </w:rPr>
              <w:t>points</w:t>
            </w:r>
          </w:p>
          <w:p w:rsidR="00B10382" w:rsidRPr="00512D40" w:rsidRDefault="00B10382" w:rsidP="00512D40">
            <w:pPr>
              <w:pStyle w:val="NormalWeb"/>
              <w:spacing w:before="0" w:beforeAutospacing="0" w:after="120" w:afterAutospacing="0"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53" w:type="dxa"/>
          </w:tcPr>
          <w:p w:rsidR="00B10382" w:rsidRPr="00512D40" w:rsidRDefault="00512D40" w:rsidP="00512D40">
            <w:pPr>
              <w:pStyle w:val="NormalWeb"/>
              <w:numPr>
                <w:ilvl w:val="0"/>
                <w:numId w:val="5"/>
              </w:numPr>
              <w:tabs>
                <w:tab w:val="left" w:pos="2901"/>
              </w:tabs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remittances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that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migrants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send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home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provide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more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resources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to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many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of the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world’s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poorest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nations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than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official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development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assistance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does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>.</w:t>
            </w:r>
          </w:p>
          <w:p w:rsidR="00512D40" w:rsidRPr="00512D40" w:rsidRDefault="00512D40" w:rsidP="00512D40">
            <w:pPr>
              <w:pStyle w:val="NormalWeb"/>
              <w:numPr>
                <w:ilvl w:val="0"/>
                <w:numId w:val="5"/>
              </w:numPr>
              <w:tabs>
                <w:tab w:val="left" w:pos="2901"/>
              </w:tabs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12D40">
              <w:rPr>
                <w:rFonts w:ascii="Arial" w:hAnsi="Arial" w:cs="Arial"/>
                <w:color w:val="000000" w:themeColor="text1"/>
              </w:rPr>
              <w:t xml:space="preserve">And in countries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with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labor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shortages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or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aging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populations, migrants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can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propel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economies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12D40">
              <w:rPr>
                <w:rFonts w:ascii="Arial" w:hAnsi="Arial" w:cs="Arial"/>
                <w:color w:val="000000" w:themeColor="text1"/>
              </w:rPr>
              <w:t>forward</w:t>
            </w:r>
            <w:proofErr w:type="spellEnd"/>
            <w:r w:rsidRPr="00512D4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AD52BF" w:rsidRPr="00A21F80" w:rsidRDefault="00AD52BF" w:rsidP="00A21F8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sectPr w:rsidR="00AD52BF" w:rsidRPr="00A21F80" w:rsidSect="00A21F80">
      <w:type w:val="continuous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735"/>
    <w:multiLevelType w:val="hybridMultilevel"/>
    <w:tmpl w:val="00D447D6"/>
    <w:lvl w:ilvl="0" w:tplc="040C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>
    <w:nsid w:val="0955354C"/>
    <w:multiLevelType w:val="hybridMultilevel"/>
    <w:tmpl w:val="D34A7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A5C"/>
    <w:multiLevelType w:val="hybridMultilevel"/>
    <w:tmpl w:val="5ACCA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A744E"/>
    <w:multiLevelType w:val="hybridMultilevel"/>
    <w:tmpl w:val="52888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7C7B"/>
    <w:multiLevelType w:val="hybridMultilevel"/>
    <w:tmpl w:val="9DD43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52BF"/>
    <w:rsid w:val="0027273D"/>
    <w:rsid w:val="00512D40"/>
    <w:rsid w:val="00582DBB"/>
    <w:rsid w:val="00810BA7"/>
    <w:rsid w:val="00911C1B"/>
    <w:rsid w:val="00A21F80"/>
    <w:rsid w:val="00AD52BF"/>
    <w:rsid w:val="00B10382"/>
    <w:rsid w:val="00C10044"/>
    <w:rsid w:val="00EC4630"/>
    <w:rsid w:val="00F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D52BF"/>
  </w:style>
  <w:style w:type="paragraph" w:styleId="NormalWeb">
    <w:name w:val="Normal (Web)"/>
    <w:basedOn w:val="Normal"/>
    <w:uiPriority w:val="99"/>
    <w:unhideWhenUsed/>
    <w:rsid w:val="00A2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03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2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ggXzHn90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SOPPY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CHAUSSE</dc:creator>
  <cp:lastModifiedBy>Yvan BAPTISTE</cp:lastModifiedBy>
  <cp:revision>3</cp:revision>
  <dcterms:created xsi:type="dcterms:W3CDTF">2019-02-27T13:19:00Z</dcterms:created>
  <dcterms:modified xsi:type="dcterms:W3CDTF">2019-02-27T15:25:00Z</dcterms:modified>
</cp:coreProperties>
</file>