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5E" w:rsidRPr="00975C50" w:rsidRDefault="007D0A11" w:rsidP="00C906F6">
      <w:pPr>
        <w:autoSpaceDE w:val="0"/>
        <w:autoSpaceDN w:val="0"/>
        <w:adjustRightInd w:val="0"/>
        <w:rPr>
          <w:rFonts w:ascii="Bookman Old Style" w:hAnsi="Bookman Old Style" w:cs="Times-Roman"/>
          <w:sz w:val="24"/>
          <w:szCs w:val="24"/>
          <w:lang w:val="en-US"/>
        </w:rPr>
      </w:pPr>
      <w:r w:rsidRPr="00975C50">
        <w:rPr>
          <w:rFonts w:ascii="Bookman Old Style" w:hAnsi="Bookman Old Style" w:cs="Times-Roman"/>
          <w:b/>
          <w:sz w:val="28"/>
          <w:szCs w:val="28"/>
          <w:u w:val="single"/>
          <w:bdr w:val="single" w:sz="4" w:space="0" w:color="auto"/>
          <w:lang w:val="en-US"/>
        </w:rPr>
        <w:t xml:space="preserve">C.O. </w:t>
      </w:r>
      <w:r w:rsidR="00975C50" w:rsidRPr="00975C50">
        <w:rPr>
          <w:rFonts w:ascii="Bookman Old Style" w:hAnsi="Bookman Old Style" w:cs="Times-Roman"/>
          <w:b/>
          <w:sz w:val="28"/>
          <w:szCs w:val="28"/>
          <w:u w:val="single"/>
          <w:bdr w:val="single" w:sz="4" w:space="0" w:color="auto"/>
          <w:lang w:val="en-US"/>
        </w:rPr>
        <w:t>Discrimination in India</w:t>
      </w:r>
      <w:r w:rsidRPr="00975C50">
        <w:rPr>
          <w:rFonts w:ascii="Bookman Old Style" w:hAnsi="Bookman Old Style" w:cs="Times-Roman"/>
          <w:b/>
          <w:sz w:val="28"/>
          <w:szCs w:val="28"/>
          <w:u w:val="single"/>
          <w:bdr w:val="single" w:sz="4" w:space="0" w:color="auto"/>
          <w:lang w:val="en-US"/>
        </w:rPr>
        <w:t xml:space="preserve"> </w:t>
      </w:r>
      <w:r w:rsidR="00211E5E" w:rsidRPr="00975C50">
        <w:rPr>
          <w:rFonts w:ascii="Bookman Old Style" w:hAnsi="Bookman Old Style" w:cs="Times-Roman"/>
          <w:sz w:val="24"/>
          <w:szCs w:val="24"/>
          <w:lang w:val="en-US"/>
        </w:rPr>
        <w:t xml:space="preserve"> </w:t>
      </w:r>
    </w:p>
    <w:p w:rsidR="00975C50" w:rsidRPr="00975C50" w:rsidRDefault="004564EA" w:rsidP="00975C50">
      <w:pPr>
        <w:rPr>
          <w:rFonts w:ascii="Calibri" w:eastAsia="Calibri" w:hAnsi="Calibri" w:cs="Times New Roman"/>
          <w:lang w:val="en-US"/>
        </w:rPr>
      </w:pPr>
      <w:hyperlink r:id="rId5" w:history="1">
        <w:r w:rsidR="00975C50" w:rsidRPr="00975C50">
          <w:rPr>
            <w:rFonts w:ascii="Calibri" w:eastAsia="Calibri" w:hAnsi="Calibri" w:cs="Times New Roman"/>
            <w:color w:val="0000FF"/>
            <w:u w:val="single"/>
            <w:lang w:val="en-US"/>
          </w:rPr>
          <w:t>https://www.youtube.com/watch?v=XtHgTf67hzc&amp;t=123s</w:t>
        </w:r>
      </w:hyperlink>
    </w:p>
    <w:p w:rsidR="00975C50" w:rsidRPr="00975C50" w:rsidRDefault="00975C50" w:rsidP="00975C50">
      <w:pPr>
        <w:rPr>
          <w:rFonts w:ascii="Calibri" w:eastAsia="Calibri" w:hAnsi="Calibri" w:cs="Times New Roman"/>
          <w:lang w:val="en-US"/>
        </w:rPr>
      </w:pPr>
      <w:r w:rsidRPr="00975C50">
        <w:rPr>
          <w:rFonts w:ascii="Calibri" w:eastAsia="Calibri" w:hAnsi="Calibri" w:cs="Times New Roman"/>
          <w:lang w:val="en-US"/>
        </w:rPr>
        <w:t xml:space="preserve">CNN </w:t>
      </w:r>
      <w:proofErr w:type="gramStart"/>
      <w:r w:rsidRPr="00975C50">
        <w:rPr>
          <w:rFonts w:ascii="Calibri" w:eastAsia="Calibri" w:hAnsi="Calibri" w:cs="Times New Roman"/>
          <w:lang w:val="en-US"/>
        </w:rPr>
        <w:t>January,</w:t>
      </w:r>
      <w:proofErr w:type="gramEnd"/>
      <w:r w:rsidRPr="00975C50">
        <w:rPr>
          <w:rFonts w:ascii="Calibri" w:eastAsia="Calibri" w:hAnsi="Calibri" w:cs="Times New Roman"/>
          <w:lang w:val="en-US"/>
        </w:rPr>
        <w:t xml:space="preserve"> 9</w:t>
      </w:r>
      <w:r w:rsidRPr="00975C50">
        <w:rPr>
          <w:rFonts w:ascii="Calibri" w:eastAsia="Calibri" w:hAnsi="Calibri" w:cs="Times New Roman"/>
          <w:vertAlign w:val="superscript"/>
          <w:lang w:val="en-US"/>
        </w:rPr>
        <w:t>th</w:t>
      </w:r>
      <w:r w:rsidRPr="00975C50">
        <w:rPr>
          <w:rFonts w:ascii="Calibri" w:eastAsia="Calibri" w:hAnsi="Calibri" w:cs="Times New Roman"/>
          <w:lang w:val="en-US"/>
        </w:rPr>
        <w:t xml:space="preserve"> 2013</w:t>
      </w:r>
    </w:p>
    <w:p w:rsidR="00975C50" w:rsidRPr="00975C50" w:rsidRDefault="00975C50" w:rsidP="00975C50">
      <w:pPr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975C50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SCRIPT</w:t>
      </w:r>
    </w:p>
    <w:p w:rsidR="00975C50" w:rsidRPr="00975C50" w:rsidRDefault="00975C50" w:rsidP="00E04DF0">
      <w:pPr>
        <w:spacing w:after="120"/>
        <w:ind w:firstLine="708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gramStart"/>
      <w:r w:rsidRPr="00975C50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Journalist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:</w:t>
      </w:r>
      <w:proofErr w:type="gramEnd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25 year old </w:t>
      </w:r>
      <w:r w:rsidR="00C46B0D" w:rsidRPr="00C46B0D">
        <w:rPr>
          <w:rFonts w:ascii="Bookman Old Style" w:eastAsia="Calibri" w:hAnsi="Bookman Old Style" w:cs="Times New Roman"/>
          <w:sz w:val="24"/>
          <w:szCs w:val="24"/>
          <w:lang w:val="en-US"/>
        </w:rPr>
        <w:t>Soumyajit</w:t>
      </w:r>
      <w:r w:rsidR="00C46B0D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cradles her one month old baby girl. Her name is K</w:t>
      </w:r>
      <w:r w:rsidR="00916DE4">
        <w:rPr>
          <w:rFonts w:ascii="Bookman Old Style" w:eastAsia="Calibri" w:hAnsi="Bookman Old Style" w:cs="Times New Roman"/>
          <w:sz w:val="24"/>
          <w:szCs w:val="24"/>
          <w:lang w:val="en-US"/>
        </w:rPr>
        <w:t>h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ushi, in Hindi that means happiness. K</w:t>
      </w:r>
      <w:r w:rsidR="00916DE4">
        <w:rPr>
          <w:rFonts w:ascii="Bookman Old Style" w:eastAsia="Calibri" w:hAnsi="Bookman Old Style" w:cs="Times New Roman"/>
          <w:sz w:val="24"/>
          <w:szCs w:val="24"/>
          <w:lang w:val="en-US"/>
        </w:rPr>
        <w:t>h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ushi wouldn’t have been alive, had her mother given in to pressure from some relatives and </w:t>
      </w:r>
      <w:proofErr w:type="spellStart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neighbours</w:t>
      </w:r>
      <w:proofErr w:type="spellEnd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</w:p>
    <w:p w:rsidR="00975C50" w:rsidRPr="00975C50" w:rsidRDefault="00C46B0D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Soumyajit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:</w:t>
      </w:r>
      <w:proofErr w:type="gramEnd"/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They would cry and yell : “What are you doing giving birth to a girl? Push her off the roof of this building. Kill </w:t>
      </w:r>
      <w:proofErr w:type="gramStart"/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her !</w:t>
      </w:r>
      <w:proofErr w:type="gramEnd"/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Why are you keeping her?”</w:t>
      </w:r>
    </w:p>
    <w:p w:rsidR="00975C50" w:rsidRPr="00975C50" w:rsidRDefault="00C46B0D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C46B0D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Soumyajit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said she was under great pressure to abort all four of her daughters just because they were girls, an issue all too common in these parts of India. </w:t>
      </w:r>
    </w:p>
    <w:p w:rsidR="00975C50" w:rsidRPr="00975C50" w:rsidRDefault="00975C50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spellStart"/>
      <w:r w:rsidRPr="00975C50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Sumnima</w:t>
      </w:r>
      <w:proofErr w:type="spellEnd"/>
      <w:r w:rsidRPr="00975C50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75C50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Udas</w:t>
      </w:r>
      <w:proofErr w:type="spellEnd"/>
      <w:r w:rsidRPr="00975C50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 xml:space="preserve"> (CNN International’s Delhi-based correspondent</w:t>
      </w: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): </w:t>
      </w:r>
      <w:proofErr w:type="spellStart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Jhajjar</w:t>
      </w:r>
      <w:proofErr w:type="spellEnd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district in the State of Haryana has the lowest female to male chart sex ratio in the country. Out of every thousand boys, there are only 774 girls here. </w:t>
      </w:r>
    </w:p>
    <w:p w:rsidR="00975C50" w:rsidRPr="00975C50" w:rsidRDefault="00975C50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 main reason, even the government acknowledges, sex selective abortions, now outlawed in India, but according to a 2011 study, 600 000 female </w:t>
      </w:r>
      <w:proofErr w:type="spellStart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feotuses</w:t>
      </w:r>
      <w:proofErr w:type="spellEnd"/>
      <w:r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are aborted every year in India.</w:t>
      </w:r>
    </w:p>
    <w:p w:rsidR="00E04DF0" w:rsidRDefault="00C46B0D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C46B0D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Soumyajit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: Why are they killing girls when they are still in the womb</w:t>
      </w:r>
      <w:r w:rsidR="00AE598D">
        <w:rPr>
          <w:rFonts w:ascii="Bookman Old Style" w:eastAsia="Calibri" w:hAnsi="Bookman Old Style" w:cs="Times New Roman"/>
          <w:sz w:val="24"/>
          <w:szCs w:val="24"/>
          <w:lang w:val="en-US"/>
        </w:rPr>
        <w:t>?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It’s a sin for which they will have to be enterable to God. Small, cute little girls, like a doll, they kill her in the womb? It’s a sin. </w:t>
      </w:r>
    </w:p>
    <w:p w:rsidR="00587670" w:rsidRDefault="00E04DF0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gramStart"/>
      <w:r w:rsidRPr="00C46B0D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Journalist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And the discrimination that begins in the womb continues throughout a girl’s life. </w:t>
      </w:r>
    </w:p>
    <w:p w:rsidR="00975C50" w:rsidRDefault="00587670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C46B0D">
        <w:rPr>
          <w:rFonts w:ascii="Bookman Old Style" w:eastAsia="Calibri" w:hAnsi="Bookman Old Style" w:cs="Times New Roman"/>
          <w:sz w:val="24"/>
          <w:szCs w:val="24"/>
          <w:u w:val="single"/>
          <w:lang w:val="en-US"/>
        </w:rPr>
        <w:t>Soumyajit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: 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They send boys to good schools, they give them good food, nice clothes to wear, they treat them well. They say ‘Oh! It’s my son!’. To the daughters they say: </w:t>
      </w:r>
      <w:r w:rsidR="00975C50">
        <w:rPr>
          <w:rFonts w:ascii="Bookman Old Style" w:eastAsia="Calibri" w:hAnsi="Bookman Old Style" w:cs="Times New Roman"/>
          <w:sz w:val="24"/>
          <w:szCs w:val="24"/>
          <w:lang w:val="en-US"/>
        </w:rPr>
        <w:t>‘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Get the cow done, </w:t>
      </w:r>
      <w:r w:rsidR="00170BE0">
        <w:rPr>
          <w:rFonts w:ascii="Bookman Old Style" w:eastAsia="Calibri" w:hAnsi="Bookman Old Style" w:cs="Times New Roman"/>
          <w:sz w:val="24"/>
          <w:szCs w:val="24"/>
          <w:lang w:val="en-US"/>
        </w:rPr>
        <w:t>s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>weep the floors, what will you do with an education</w:t>
      </w:r>
      <w:r w:rsidR="00975C50">
        <w:rPr>
          <w:rFonts w:ascii="Bookman Old Style" w:eastAsia="Calibri" w:hAnsi="Bookman Old Style" w:cs="Times New Roman"/>
          <w:sz w:val="24"/>
          <w:szCs w:val="24"/>
          <w:lang w:val="en-US"/>
        </w:rPr>
        <w:t>?’</w:t>
      </w:r>
      <w:r w:rsidR="00975C50" w:rsidRPr="00975C50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</w:p>
    <w:p w:rsidR="00C46B0D" w:rsidRDefault="00C46B0D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154C9D" w:rsidRDefault="00154C9D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E04DF0" w:rsidRPr="00975C50" w:rsidRDefault="00E04DF0" w:rsidP="00E04DF0">
      <w:pPr>
        <w:spacing w:after="120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tbl>
      <w:tblPr>
        <w:tblStyle w:val="Grilledutableau"/>
        <w:tblW w:w="8081" w:type="dxa"/>
        <w:tblInd w:w="-289" w:type="dxa"/>
        <w:tblLook w:val="04A0" w:firstRow="1" w:lastRow="0" w:firstColumn="1" w:lastColumn="0" w:noHBand="0" w:noVBand="1"/>
      </w:tblPr>
      <w:tblGrid>
        <w:gridCol w:w="7188"/>
        <w:gridCol w:w="437"/>
        <w:gridCol w:w="456"/>
      </w:tblGrid>
      <w:tr w:rsidR="00C248AE" w:rsidRPr="00BA6D5C" w:rsidTr="00C46B0D">
        <w:trPr>
          <w:trHeight w:val="132"/>
        </w:trPr>
        <w:tc>
          <w:tcPr>
            <w:tcW w:w="7188" w:type="dxa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rPr>
                <w:rFonts w:ascii="Century Gothic" w:hAnsi="Century Gothic" w:cs="Times-Roman"/>
                <w:b/>
                <w:sz w:val="16"/>
                <w:szCs w:val="16"/>
              </w:rPr>
            </w:pPr>
            <w:bookmarkStart w:id="0" w:name="_Hlk509570451"/>
            <w:r w:rsidRPr="00BA6D5C">
              <w:rPr>
                <w:rFonts w:ascii="Century Gothic" w:hAnsi="Century Gothic" w:cs="Times-Roman"/>
                <w:b/>
                <w:sz w:val="16"/>
                <w:szCs w:val="16"/>
              </w:rPr>
              <w:t>Comprendre un documen</w:t>
            </w:r>
            <w:r w:rsidR="00FD2DCA">
              <w:rPr>
                <w:rFonts w:ascii="Century Gothic" w:hAnsi="Century Gothic" w:cs="Times-Roman"/>
                <w:b/>
                <w:sz w:val="16"/>
                <w:szCs w:val="16"/>
              </w:rPr>
              <w:t>t</w:t>
            </w:r>
          </w:p>
        </w:tc>
        <w:tc>
          <w:tcPr>
            <w:tcW w:w="437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A6D5C">
              <w:rPr>
                <w:rFonts w:cstheme="minorHAnsi"/>
                <w:sz w:val="16"/>
                <w:szCs w:val="16"/>
              </w:rPr>
              <w:t>Lv1</w:t>
            </w:r>
          </w:p>
        </w:tc>
        <w:tc>
          <w:tcPr>
            <w:tcW w:w="456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A6D5C">
              <w:rPr>
                <w:rFonts w:cstheme="minorHAnsi"/>
                <w:sz w:val="16"/>
                <w:szCs w:val="16"/>
              </w:rPr>
              <w:t>LV2</w:t>
            </w:r>
          </w:p>
        </w:tc>
      </w:tr>
      <w:tr w:rsidR="00C248AE" w:rsidRPr="00BA6D5C" w:rsidTr="00C46B0D">
        <w:trPr>
          <w:trHeight w:val="367"/>
        </w:trPr>
        <w:tc>
          <w:tcPr>
            <w:tcW w:w="7188" w:type="dxa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A6D5C">
              <w:rPr>
                <w:b/>
                <w:sz w:val="16"/>
                <w:szCs w:val="16"/>
              </w:rPr>
              <w:t>Le candidat n'a pas compris le document</w:t>
            </w:r>
            <w:proofErr w:type="gramStart"/>
            <w:r w:rsidRPr="00BA6D5C">
              <w:rPr>
                <w:b/>
                <w:sz w:val="16"/>
                <w:szCs w:val="16"/>
              </w:rPr>
              <w:t xml:space="preserve">. </w:t>
            </w:r>
            <w:r w:rsidR="005F17F8" w:rsidRPr="00BA6D5C">
              <w:rPr>
                <w:b/>
                <w:sz w:val="16"/>
                <w:szCs w:val="16"/>
              </w:rPr>
              <w:t>.</w:t>
            </w:r>
            <w:proofErr w:type="gramEnd"/>
            <w:r w:rsidR="005F17F8" w:rsidRPr="00BA6D5C">
              <w:rPr>
                <w:b/>
                <w:sz w:val="16"/>
                <w:szCs w:val="16"/>
              </w:rPr>
              <w:t xml:space="preserve"> Il n'en a repéré que des éléments isolés et n’est parvenu à en identifier ni le thème ni les interlocuteurs (leur fonction, leur rôle).</w:t>
            </w:r>
          </w:p>
        </w:tc>
        <w:tc>
          <w:tcPr>
            <w:tcW w:w="437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4</w:t>
            </w:r>
          </w:p>
        </w:tc>
      </w:tr>
      <w:tr w:rsidR="00C248AE" w:rsidRPr="00BA6D5C" w:rsidTr="00C46B0D">
        <w:tc>
          <w:tcPr>
            <w:tcW w:w="7188" w:type="dxa"/>
          </w:tcPr>
          <w:p w:rsidR="005F17F8" w:rsidRPr="00BC3D9A" w:rsidRDefault="005F17F8" w:rsidP="005F17F8">
            <w:pPr>
              <w:pStyle w:val="Default"/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</w:pPr>
            <w:r w:rsidRPr="00BC3D9A"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A1 Le candidat est parvenu à relever des mots isolés, des expressions courantes, et à les mettre en relation pour construire une amorce de compréhension du document. </w:t>
            </w:r>
          </w:p>
          <w:p w:rsidR="004078D4" w:rsidRPr="00BA6D5C" w:rsidRDefault="005F17F8" w:rsidP="005F17F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C3D9A">
              <w:rPr>
                <w:rFonts w:ascii="Calibri" w:eastAsia="Calibri" w:hAnsi="Calibri" w:cs="Times New Roman"/>
                <w:b/>
                <w:sz w:val="16"/>
                <w:szCs w:val="16"/>
              </w:rPr>
              <w:t>Le candidat a compris seulement les phrases/les idées les plus simples</w:t>
            </w:r>
          </w:p>
          <w:p w:rsidR="00975C50" w:rsidRPr="00170BE0" w:rsidRDefault="00975C50" w:rsidP="00975C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Reportage sur la discrimination des femmes en Inde</w:t>
            </w:r>
          </w:p>
          <w:p w:rsidR="00170BE0" w:rsidRDefault="00BC3D9A" w:rsidP="00BC3D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Une femme de 25 ans / Un bébé de 1 moi</w:t>
            </w:r>
            <w:r w:rsidR="00170BE0" w:rsidRPr="00170BE0"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  <w:p w:rsidR="00170BE0" w:rsidRPr="00BA6D5C" w:rsidRDefault="00FD2DCA" w:rsidP="00C46B0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Le bébé s’appelle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h</w:t>
            </w:r>
            <w:r>
              <w:rPr>
                <w:rFonts w:ascii="Courier New" w:hAnsi="Courier New" w:cs="Courier New"/>
                <w:sz w:val="20"/>
                <w:szCs w:val="20"/>
              </w:rPr>
              <w:t>ushi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8</w:t>
            </w:r>
          </w:p>
        </w:tc>
      </w:tr>
      <w:tr w:rsidR="00C248AE" w:rsidRPr="00BA6D5C" w:rsidTr="00C46B0D">
        <w:tc>
          <w:tcPr>
            <w:tcW w:w="7188" w:type="dxa"/>
          </w:tcPr>
          <w:p w:rsidR="005F17F8" w:rsidRPr="00BA6D5C" w:rsidRDefault="005F17F8" w:rsidP="005F17F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A6D5C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A</w:t>
            </w:r>
            <w:proofErr w:type="gramStart"/>
            <w:r w:rsidRPr="00BA6D5C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2  </w:t>
            </w:r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>Certaines</w:t>
            </w:r>
            <w:proofErr w:type="gramEnd"/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informations ont été comprises mais le relevé est insuffisant et conduit à une compréhension encore lacunaire ou partielle. </w:t>
            </w:r>
          </w:p>
          <w:p w:rsidR="004078D4" w:rsidRPr="00BA6D5C" w:rsidRDefault="005F17F8" w:rsidP="005F17F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>Le candidat a su identifier le thème de la discussion et la fonction ou le rôle des interlocuteurs.</w:t>
            </w:r>
          </w:p>
          <w:p w:rsidR="00E04DF0" w:rsidRPr="00170BE0" w:rsidRDefault="00BC3D9A" w:rsidP="004E2D5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70BE0"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h</w:t>
            </w:r>
            <w:r w:rsidRPr="00170BE0">
              <w:rPr>
                <w:rFonts w:ascii="Courier New" w:hAnsi="Courier New" w:cs="Courier New"/>
                <w:sz w:val="20"/>
                <w:szCs w:val="20"/>
              </w:rPr>
              <w:t>ushi</w:t>
            </w:r>
            <w:proofErr w:type="spellEnd"/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 en Hindi signifie ‘bonheur’</w:t>
            </w:r>
          </w:p>
          <w:p w:rsidR="00BC3D9A" w:rsidRPr="00170BE0" w:rsidRDefault="00BC3D9A" w:rsidP="00BC3D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Une femme avec son bébé / Les voisins / Pousse-la, tue-la/ </w:t>
            </w:r>
          </w:p>
          <w:p w:rsidR="00FD2DCA" w:rsidRDefault="00BC3D9A" w:rsidP="00BC3D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Petites filles, mignonnes comme des poupées</w:t>
            </w:r>
            <w:r w:rsidR="00FD2DCA" w:rsidRPr="0017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90009" w:rsidRDefault="00B90009" w:rsidP="00BC3D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90009">
              <w:rPr>
                <w:rFonts w:ascii="Courier New" w:hAnsi="Courier New" w:cs="Courier New"/>
                <w:sz w:val="20"/>
                <w:szCs w:val="20"/>
              </w:rPr>
              <w:t>Pour 10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B90009">
              <w:rPr>
                <w:rFonts w:ascii="Courier New" w:hAnsi="Courier New" w:cs="Courier New"/>
                <w:sz w:val="20"/>
                <w:szCs w:val="20"/>
              </w:rPr>
              <w:t xml:space="preserve">0 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garçons</w:t>
            </w:r>
            <w:r w:rsidRPr="00B90009">
              <w:rPr>
                <w:rFonts w:ascii="Courier New" w:hAnsi="Courier New" w:cs="Courier New"/>
                <w:sz w:val="20"/>
                <w:szCs w:val="20"/>
              </w:rPr>
              <w:t xml:space="preserve">,774 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filles</w:t>
            </w:r>
          </w:p>
          <w:p w:rsidR="00FD2DCA" w:rsidRDefault="00FD2DCA" w:rsidP="00BC3D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On envoie les garçons dans les bonnes écoles.</w:t>
            </w:r>
          </w:p>
          <w:p w:rsidR="00FD2DCA" w:rsidRPr="00BC3D9A" w:rsidRDefault="00FD2DCA" w:rsidP="001D436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On donne aux garçon</w:t>
            </w: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 de la bonne nourriture, de beaux habits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r w:rsidR="00170BE0" w:rsidRPr="00170BE0">
              <w:rPr>
                <w:rFonts w:ascii="Courier New" w:hAnsi="Courier New" w:cs="Courier New"/>
                <w:sz w:val="20"/>
                <w:szCs w:val="20"/>
              </w:rPr>
              <w:t>Que feraient les filles avec de l’éducation ?</w:t>
            </w:r>
          </w:p>
        </w:tc>
        <w:tc>
          <w:tcPr>
            <w:tcW w:w="437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10</w:t>
            </w:r>
          </w:p>
        </w:tc>
        <w:tc>
          <w:tcPr>
            <w:tcW w:w="456" w:type="dxa"/>
          </w:tcPr>
          <w:p w:rsidR="00C248AE" w:rsidRPr="00BA6D5C" w:rsidRDefault="00C248AE" w:rsidP="007D0A11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14</w:t>
            </w:r>
          </w:p>
        </w:tc>
      </w:tr>
      <w:tr w:rsidR="00C248AE" w:rsidRPr="00BA6D5C" w:rsidTr="00C46B0D">
        <w:tc>
          <w:tcPr>
            <w:tcW w:w="7188" w:type="dxa"/>
          </w:tcPr>
          <w:p w:rsidR="005F17F8" w:rsidRPr="00BA6D5C" w:rsidRDefault="005F17F8" w:rsidP="005F17F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B1 Le candidat a su relever les points principaux de la discussion (contexte, objet, interlocuteurs et, éventuellement, conclusion de l’échange). </w:t>
            </w:r>
          </w:p>
          <w:p w:rsidR="004078D4" w:rsidRPr="00BA6D5C" w:rsidRDefault="005F17F8" w:rsidP="005F17F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>Compréhension satisfaisante.</w:t>
            </w:r>
          </w:p>
          <w:p w:rsidR="002F73B7" w:rsidRDefault="002F73B7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Le bébé ne serait pas vivant si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Khushi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avait cédé à la pression de sa famille et de ses voisins.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Elle raconte :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«  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Ils</w:t>
            </w:r>
            <w:proofErr w:type="gramEnd"/>
            <w:r w:rsidR="00975C50" w:rsidRPr="0017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pleuraient et hurlaient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 xml:space="preserve"> : </w:t>
            </w:r>
            <w:r w:rsidR="00916DE4">
              <w:rPr>
                <w:rFonts w:ascii="Courier New" w:hAnsi="Courier New" w:cs="Courier New"/>
                <w:sz w:val="20"/>
                <w:szCs w:val="20"/>
              </w:rPr>
              <w:t>‘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>Que fais-tu ainsi à donner naissance à une fille ? Pourquoi la gardes-tu ?</w:t>
            </w:r>
            <w:r>
              <w:rPr>
                <w:rFonts w:ascii="Courier New" w:hAnsi="Courier New" w:cs="Courier New"/>
                <w:sz w:val="20"/>
                <w:szCs w:val="20"/>
              </w:rPr>
              <w:t> »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5770B" w:rsidRPr="00170BE0" w:rsidRDefault="009E7D77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Souma</w:t>
            </w:r>
            <w:r w:rsidR="004564EA">
              <w:rPr>
                <w:rFonts w:ascii="Courier New" w:hAnsi="Courier New" w:cs="Courier New"/>
                <w:sz w:val="20"/>
                <w:szCs w:val="20"/>
              </w:rPr>
              <w:t>yajit</w:t>
            </w:r>
            <w:proofErr w:type="spellEnd"/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 xml:space="preserve"> a subi de grosses pressions pour avorter de ses 4 filles, un problème bien trop familier dans ces régions d</w:t>
            </w:r>
            <w:r w:rsidR="004564EA">
              <w:rPr>
                <w:rFonts w:ascii="Courier New" w:hAnsi="Courier New" w:cs="Courier New"/>
                <w:sz w:val="20"/>
                <w:szCs w:val="20"/>
              </w:rPr>
              <w:t>e l’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>Inde.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 xml:space="preserve"> D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>ans le village du reportage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4564EA">
              <w:rPr>
                <w:rFonts w:ascii="Courier New" w:hAnsi="Courier New" w:cs="Courier New"/>
                <w:sz w:val="20"/>
                <w:szCs w:val="20"/>
              </w:rPr>
              <w:t xml:space="preserve">il y a </w:t>
            </w:r>
            <w:bookmarkStart w:id="1" w:name="_GoBack"/>
            <w:bookmarkEnd w:id="1"/>
            <w:r w:rsidR="002F73B7">
              <w:rPr>
                <w:rFonts w:ascii="Courier New" w:hAnsi="Courier New" w:cs="Courier New"/>
                <w:sz w:val="20"/>
                <w:szCs w:val="20"/>
              </w:rPr>
              <w:t>le taux le plus bas de filles par rapport aux garçons : p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>our 100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>garçons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>, 774</w:t>
            </w:r>
            <w:r w:rsidR="002F73B7">
              <w:rPr>
                <w:rFonts w:ascii="Courier New" w:hAnsi="Courier New" w:cs="Courier New"/>
                <w:sz w:val="20"/>
                <w:szCs w:val="20"/>
              </w:rPr>
              <w:t xml:space="preserve"> filles.</w:t>
            </w:r>
            <w:r w:rsidR="0095770B" w:rsidRPr="00170B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570BB" w:rsidRDefault="00AE598D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La raison principale : les avortements sélectifs.</w:t>
            </w:r>
            <w:r w:rsidR="00FD2D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E598D" w:rsidRPr="00170BE0" w:rsidRDefault="00AE598D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Selon une étude de 2011, 600 000 fœtus féminins sont avortés chaque année en Inde.</w:t>
            </w:r>
          </w:p>
          <w:p w:rsidR="00AE598D" w:rsidRPr="00170BE0" w:rsidRDefault="00C46B0D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 </w:t>
            </w:r>
            <w:r w:rsidR="00AE598D" w:rsidRPr="00170BE0">
              <w:rPr>
                <w:rFonts w:ascii="Courier New" w:hAnsi="Courier New" w:cs="Courier New"/>
                <w:sz w:val="20"/>
                <w:szCs w:val="20"/>
              </w:rPr>
              <w:t xml:space="preserve">Pourquoi tuer ainsi les filles encore dans le ventre de leur mère ? </w:t>
            </w:r>
          </w:p>
          <w:p w:rsidR="00AE598D" w:rsidRDefault="00AE598D" w:rsidP="00BA6D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C’est un péché </w:t>
            </w:r>
            <w:r w:rsidR="002C50DB" w:rsidRPr="00170BE0">
              <w:rPr>
                <w:rFonts w:ascii="Courier New" w:hAnsi="Courier New" w:cs="Courier New"/>
                <w:sz w:val="20"/>
                <w:szCs w:val="20"/>
              </w:rPr>
              <w:t>pour lequel ils auront à s’expliquer devant Dieu.</w:t>
            </w:r>
            <w:r w:rsidR="00C46B0D">
              <w:rPr>
                <w:rFonts w:ascii="Courier New" w:hAnsi="Courier New" w:cs="Courier New"/>
                <w:sz w:val="20"/>
                <w:szCs w:val="20"/>
              </w:rPr>
              <w:t xml:space="preserve"> » dit </w:t>
            </w:r>
            <w:proofErr w:type="spellStart"/>
            <w:r w:rsidR="00587670">
              <w:rPr>
                <w:rFonts w:ascii="Courier New" w:hAnsi="Courier New" w:cs="Courier New"/>
                <w:sz w:val="20"/>
                <w:szCs w:val="20"/>
              </w:rPr>
              <w:t>Soumyatjit</w:t>
            </w:r>
            <w:proofErr w:type="spellEnd"/>
          </w:p>
          <w:p w:rsidR="001D4368" w:rsidRPr="00BA6D5C" w:rsidRDefault="001D4368" w:rsidP="001D436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Les parents sont fiers de leurs garçons ‘Oh c’est mon fils !’, mais méprisent les filles (tâches ménagères)</w:t>
            </w:r>
          </w:p>
        </w:tc>
        <w:tc>
          <w:tcPr>
            <w:tcW w:w="437" w:type="dxa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20</w:t>
            </w:r>
          </w:p>
        </w:tc>
      </w:tr>
      <w:tr w:rsidR="00C248AE" w:rsidRPr="00BA6D5C" w:rsidTr="00C46B0D">
        <w:tc>
          <w:tcPr>
            <w:tcW w:w="7188" w:type="dxa"/>
          </w:tcPr>
          <w:p w:rsidR="004078D4" w:rsidRPr="00BA6D5C" w:rsidRDefault="005F17F8" w:rsidP="004078D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A6D5C">
              <w:rPr>
                <w:rFonts w:ascii="Calibri" w:eastAsia="Calibri" w:hAnsi="Calibri" w:cs="Times New Roman"/>
                <w:b/>
                <w:sz w:val="16"/>
                <w:szCs w:val="16"/>
              </w:rPr>
              <w:t>B2 Le candidat a saisi et relevé un nombre suffisant de détails significatifs (relations entre les interlocuteurs, tenants et aboutissants, attitude des locuteurs, ton, humour, points de vue, etc.). Compréhension fine.</w:t>
            </w:r>
          </w:p>
          <w:p w:rsidR="00C248AE" w:rsidRPr="00170BE0" w:rsidRDefault="0095770B" w:rsidP="004E2D5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Dans le district de </w:t>
            </w:r>
            <w:proofErr w:type="spellStart"/>
            <w:r w:rsidRPr="00170BE0">
              <w:rPr>
                <w:rFonts w:ascii="Courier New" w:hAnsi="Courier New" w:cs="Courier New"/>
                <w:sz w:val="20"/>
                <w:szCs w:val="20"/>
              </w:rPr>
              <w:t>Jhajjar</w:t>
            </w:r>
            <w:proofErr w:type="spellEnd"/>
            <w:r w:rsidRPr="00170BE0">
              <w:rPr>
                <w:rFonts w:ascii="Courier New" w:hAnsi="Courier New" w:cs="Courier New"/>
                <w:sz w:val="20"/>
                <w:szCs w:val="20"/>
              </w:rPr>
              <w:t>, dans l’Etat d’Haryana, le taux de fille</w:t>
            </w:r>
            <w:r w:rsidR="00BC3D9A" w:rsidRPr="00170BE0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 par rapport aux garçons est le plus bas de tout le pays</w:t>
            </w:r>
            <w:r w:rsidR="004E2D55" w:rsidRPr="00170BE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E598D" w:rsidRPr="00170BE0" w:rsidRDefault="00AE598D" w:rsidP="004E2D5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70BE0">
              <w:rPr>
                <w:rFonts w:ascii="Courier New" w:hAnsi="Courier New" w:cs="Courier New"/>
                <w:sz w:val="20"/>
                <w:szCs w:val="20"/>
              </w:rPr>
              <w:t>les</w:t>
            </w:r>
            <w:proofErr w:type="gramEnd"/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 avortements sélectifs</w:t>
            </w:r>
            <w:r w:rsidR="00BC3D9A" w:rsidRPr="00170BE0">
              <w:rPr>
                <w:rFonts w:ascii="Courier New" w:hAnsi="Courier New" w:cs="Courier New"/>
                <w:sz w:val="20"/>
                <w:szCs w:val="20"/>
              </w:rPr>
              <w:t xml:space="preserve"> sont</w:t>
            </w:r>
            <w:r w:rsidRPr="00170BE0">
              <w:rPr>
                <w:rFonts w:ascii="Courier New" w:hAnsi="Courier New" w:cs="Courier New"/>
                <w:sz w:val="20"/>
                <w:szCs w:val="20"/>
              </w:rPr>
              <w:t xml:space="preserve"> maintenant interdits en Inde</w:t>
            </w:r>
          </w:p>
          <w:p w:rsidR="00BA6D5C" w:rsidRPr="00170BE0" w:rsidRDefault="00E04DF0" w:rsidP="004E2D5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La discrimination qui commence dans le ventre de la mère continue tout au long de la vie des filles</w:t>
            </w:r>
            <w:r w:rsidR="00170BE0" w:rsidRPr="00170BE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FD2DCA" w:rsidRPr="00170BE0" w:rsidRDefault="00170BE0" w:rsidP="001D436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70BE0">
              <w:rPr>
                <w:rFonts w:ascii="Courier New" w:hAnsi="Courier New" w:cs="Courier New"/>
                <w:sz w:val="20"/>
                <w:szCs w:val="20"/>
              </w:rPr>
              <w:t>On dit aux filles : Occupe-toi de la vache/ balaye le sol</w:t>
            </w:r>
            <w:r w:rsidR="001D436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37" w:type="dxa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  <w:r w:rsidRPr="00BA6D5C">
              <w:rPr>
                <w:rFonts w:ascii="Century Gothic" w:hAnsi="Century Gothic" w:cs="Times-Roman"/>
                <w:sz w:val="16"/>
                <w:szCs w:val="16"/>
              </w:rPr>
              <w:t>20</w:t>
            </w:r>
          </w:p>
        </w:tc>
        <w:tc>
          <w:tcPr>
            <w:tcW w:w="456" w:type="dxa"/>
            <w:shd w:val="clear" w:color="auto" w:fill="808080" w:themeFill="background1" w:themeFillShade="80"/>
          </w:tcPr>
          <w:p w:rsidR="00C248AE" w:rsidRPr="00BA6D5C" w:rsidRDefault="00C248AE" w:rsidP="00D347DA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-Roman"/>
                <w:sz w:val="16"/>
                <w:szCs w:val="16"/>
              </w:rPr>
            </w:pPr>
          </w:p>
        </w:tc>
      </w:tr>
      <w:bookmarkEnd w:id="0"/>
    </w:tbl>
    <w:p w:rsidR="00C20AE3" w:rsidRPr="00391132" w:rsidRDefault="00C20AE3" w:rsidP="001D4368">
      <w:pPr>
        <w:autoSpaceDE w:val="0"/>
        <w:autoSpaceDN w:val="0"/>
        <w:adjustRightInd w:val="0"/>
        <w:spacing w:line="360" w:lineRule="auto"/>
        <w:rPr>
          <w:rFonts w:ascii="Century Gothic" w:hAnsi="Century Gothic" w:cs="Times-Roman"/>
        </w:rPr>
      </w:pPr>
    </w:p>
    <w:sectPr w:rsidR="00C20AE3" w:rsidRPr="00391132" w:rsidSect="004E2D55">
      <w:pgSz w:w="16838" w:h="11906" w:orient="landscape"/>
      <w:pgMar w:top="284" w:right="227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0711"/>
    <w:multiLevelType w:val="hybridMultilevel"/>
    <w:tmpl w:val="0D20DA7C"/>
    <w:lvl w:ilvl="0" w:tplc="B8064D8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-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B4"/>
    <w:rsid w:val="00086967"/>
    <w:rsid w:val="000B371F"/>
    <w:rsid w:val="000B55AD"/>
    <w:rsid w:val="000C760E"/>
    <w:rsid w:val="000D1DC0"/>
    <w:rsid w:val="00154C9D"/>
    <w:rsid w:val="001618A0"/>
    <w:rsid w:val="00170BE0"/>
    <w:rsid w:val="0018216E"/>
    <w:rsid w:val="001D4368"/>
    <w:rsid w:val="00211E5E"/>
    <w:rsid w:val="00295282"/>
    <w:rsid w:val="002C50DB"/>
    <w:rsid w:val="002F73B7"/>
    <w:rsid w:val="003436F7"/>
    <w:rsid w:val="003775BF"/>
    <w:rsid w:val="00391132"/>
    <w:rsid w:val="004078D4"/>
    <w:rsid w:val="00435B0F"/>
    <w:rsid w:val="004564EA"/>
    <w:rsid w:val="00460DEC"/>
    <w:rsid w:val="004E2D55"/>
    <w:rsid w:val="00534147"/>
    <w:rsid w:val="00587670"/>
    <w:rsid w:val="005E76CF"/>
    <w:rsid w:val="005F17F8"/>
    <w:rsid w:val="00604563"/>
    <w:rsid w:val="00612512"/>
    <w:rsid w:val="0062789B"/>
    <w:rsid w:val="00656E76"/>
    <w:rsid w:val="006A3D40"/>
    <w:rsid w:val="00701F95"/>
    <w:rsid w:val="00705490"/>
    <w:rsid w:val="00725BF4"/>
    <w:rsid w:val="00740ED6"/>
    <w:rsid w:val="0075180E"/>
    <w:rsid w:val="00776B92"/>
    <w:rsid w:val="007D0A11"/>
    <w:rsid w:val="00802BB3"/>
    <w:rsid w:val="00824EBC"/>
    <w:rsid w:val="00871118"/>
    <w:rsid w:val="008A3BB4"/>
    <w:rsid w:val="00916DE4"/>
    <w:rsid w:val="0095770B"/>
    <w:rsid w:val="00975C50"/>
    <w:rsid w:val="009E7D77"/>
    <w:rsid w:val="00A11CC1"/>
    <w:rsid w:val="00AB20B8"/>
    <w:rsid w:val="00AE598D"/>
    <w:rsid w:val="00B04162"/>
    <w:rsid w:val="00B36DA4"/>
    <w:rsid w:val="00B570BB"/>
    <w:rsid w:val="00B90009"/>
    <w:rsid w:val="00BA6D5C"/>
    <w:rsid w:val="00BC3D9A"/>
    <w:rsid w:val="00BE5EE6"/>
    <w:rsid w:val="00BF2AF1"/>
    <w:rsid w:val="00C0171D"/>
    <w:rsid w:val="00C20AE3"/>
    <w:rsid w:val="00C248AE"/>
    <w:rsid w:val="00C45B46"/>
    <w:rsid w:val="00C46B0D"/>
    <w:rsid w:val="00C906F6"/>
    <w:rsid w:val="00CB20F5"/>
    <w:rsid w:val="00D347DA"/>
    <w:rsid w:val="00D50291"/>
    <w:rsid w:val="00E04DF0"/>
    <w:rsid w:val="00E47D50"/>
    <w:rsid w:val="00F216B2"/>
    <w:rsid w:val="00F70A4C"/>
    <w:rsid w:val="00FD2DCA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A6B5"/>
  <w15:docId w15:val="{F93F8C77-9CD6-4183-B177-98A97195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E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7DA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6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tHgTf67hzc&amp;t=12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Bluteau</dc:creator>
  <cp:lastModifiedBy>Catherine Bluteau</cp:lastModifiedBy>
  <cp:revision>11</cp:revision>
  <cp:lastPrinted>2017-10-16T06:58:00Z</cp:lastPrinted>
  <dcterms:created xsi:type="dcterms:W3CDTF">2018-11-09T11:54:00Z</dcterms:created>
  <dcterms:modified xsi:type="dcterms:W3CDTF">2018-11-10T01:16:00Z</dcterms:modified>
</cp:coreProperties>
</file>