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50" w:rsidRDefault="00891550" w:rsidP="00891550">
      <w:pPr>
        <w:jc w:val="center"/>
      </w:pPr>
      <w:r w:rsidRPr="00151947">
        <w:t xml:space="preserve">Compréhension </w:t>
      </w:r>
      <w:r w:rsidR="00CE31CB">
        <w:t>orale</w:t>
      </w:r>
    </w:p>
    <w:p w:rsidR="00891550" w:rsidRDefault="00891550" w:rsidP="0089155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Titre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shd w:val="clear" w:color="auto" w:fill="D9D9D9" w:themeFill="background1" w:themeFillShade="D9"/>
            <w:vAlign w:val="center"/>
          </w:tcPr>
          <w:p w:rsidR="00891550" w:rsidRPr="00891550" w:rsidRDefault="00891550" w:rsidP="00520D9C">
            <w:pPr>
              <w:jc w:val="center"/>
              <w:rPr>
                <w:b/>
              </w:rPr>
            </w:pPr>
            <w:r>
              <w:rPr>
                <w:b/>
              </w:rPr>
              <w:t>FOOD WASTE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Durée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91550" w:rsidRDefault="00891550" w:rsidP="0028345A">
            <w:pPr>
              <w:jc w:val="center"/>
            </w:pPr>
            <w:r>
              <w:t>1min</w:t>
            </w:r>
            <w:r w:rsidR="0028345A">
              <w:t>1</w:t>
            </w:r>
            <w:r>
              <w:t>6s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Source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91550" w:rsidRDefault="00A41AB4" w:rsidP="00520D9C">
            <w:pPr>
              <w:jc w:val="center"/>
            </w:pPr>
            <w:hyperlink r:id="rId6" w:history="1">
              <w:r w:rsidR="00891550" w:rsidRPr="00F70FC2">
                <w:rPr>
                  <w:rStyle w:val="Lienhypertexte"/>
                </w:rPr>
                <w:t>http://www.breakingnewsenglish.com/1409/140926-food-waste.html</w:t>
              </w:r>
            </w:hyperlink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Transcription </w:t>
            </w:r>
          </w:p>
        </w:tc>
        <w:tc>
          <w:tcPr>
            <w:tcW w:w="7686" w:type="dxa"/>
          </w:tcPr>
          <w:p w:rsidR="00891550" w:rsidRDefault="00891550" w:rsidP="00520D9C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891550" w:rsidRDefault="00891550" w:rsidP="00520D9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B6692F">
              <w:rPr>
                <w:color w:val="000000"/>
                <w:shd w:val="clear" w:color="auto" w:fill="FFFFFF"/>
              </w:rPr>
              <w:t xml:space="preserve">The U.S. city of Seattle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is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introducing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a system to fine people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who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waste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food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. </w:t>
            </w:r>
          </w:p>
          <w:p w:rsidR="00891550" w:rsidRDefault="00891550" w:rsidP="00520D9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B6692F">
              <w:rPr>
                <w:color w:val="000000"/>
                <w:shd w:val="clear" w:color="auto" w:fill="FFFFFF"/>
              </w:rPr>
              <w:t xml:space="preserve">The city, in the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USA's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North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West,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will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begin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issuing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warnings on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January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the 1st and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then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start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fining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people six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months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later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on July the 1st. </w:t>
            </w:r>
          </w:p>
          <w:p w:rsidR="00891550" w:rsidRDefault="00891550" w:rsidP="00520D9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B6692F">
              <w:rPr>
                <w:color w:val="000000"/>
                <w:shd w:val="clear" w:color="auto" w:fill="FFFFFF"/>
              </w:rPr>
              <w:t xml:space="preserve">People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will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get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a $1 fine if more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than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10 per cent of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their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garbage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is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food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. Businesses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will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get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a $50 fine. </w:t>
            </w:r>
          </w:p>
          <w:p w:rsidR="00891550" w:rsidRDefault="00891550" w:rsidP="00520D9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B6692F">
              <w:rPr>
                <w:color w:val="000000"/>
                <w:shd w:val="clear" w:color="auto" w:fill="FFFFFF"/>
              </w:rPr>
              <w:t xml:space="preserve">City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officials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want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to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reduce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the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amount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food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that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people and businesses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waste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Americans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waste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around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40 per cent of the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food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they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buy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. </w:t>
            </w:r>
          </w:p>
          <w:p w:rsidR="00891550" w:rsidRDefault="00891550" w:rsidP="00520D9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B6692F">
              <w:rPr>
                <w:color w:val="000000"/>
                <w:shd w:val="clear" w:color="auto" w:fill="FFFFFF"/>
              </w:rPr>
              <w:t xml:space="preserve">The city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hopes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its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new fines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will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bring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this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figure down. Seattle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aims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to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increase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the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amount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waste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it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recycles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from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the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current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level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of 56 per cent to 60 per cent. It has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also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become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the second U.S. city to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make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composting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compulsory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. </w:t>
            </w:r>
          </w:p>
          <w:p w:rsidR="00891550" w:rsidRDefault="00891550" w:rsidP="00520D9C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B6692F">
              <w:rPr>
                <w:color w:val="000000"/>
                <w:shd w:val="clear" w:color="auto" w:fill="FFFFFF"/>
              </w:rPr>
              <w:t xml:space="preserve">The Seattle Public Utilities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department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said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the new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garbage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disposal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system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should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make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people more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aware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that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recycling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is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important. </w:t>
            </w:r>
          </w:p>
          <w:p w:rsidR="00891550" w:rsidRDefault="00891550" w:rsidP="00520D9C">
            <w:pPr>
              <w:spacing w:line="360" w:lineRule="auto"/>
            </w:pPr>
            <w:r w:rsidRPr="00B6692F">
              <w:rPr>
                <w:color w:val="000000"/>
                <w:shd w:val="clear" w:color="auto" w:fill="FFFFFF"/>
              </w:rPr>
              <w:t xml:space="preserve">City official Tim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Croll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told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the 'Seattle Times'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newspaper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that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the programme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would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not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make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any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money. He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said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: "The point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isn't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to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raise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revenue.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We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care more about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reminding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people to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separate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their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92F">
              <w:rPr>
                <w:color w:val="000000"/>
                <w:shd w:val="clear" w:color="auto" w:fill="FFFFFF"/>
              </w:rPr>
              <w:t>materials</w:t>
            </w:r>
            <w:proofErr w:type="spellEnd"/>
            <w:r w:rsidRPr="00B6692F">
              <w:rPr>
                <w:color w:val="000000"/>
                <w:shd w:val="clear" w:color="auto" w:fill="FFFFFF"/>
              </w:rPr>
              <w:t>."</w:t>
            </w:r>
            <w:r w:rsidRPr="00B6692F">
              <w:rPr>
                <w:color w:val="000000"/>
              </w:rPr>
              <w:br/>
            </w:r>
          </w:p>
        </w:tc>
      </w:tr>
    </w:tbl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9E22BF" w:rsidRPr="00151947" w:rsidRDefault="002E3CCB" w:rsidP="002E3CCB">
      <w:pPr>
        <w:jc w:val="center"/>
      </w:pPr>
      <w:r w:rsidRPr="00151947">
        <w:lastRenderedPageBreak/>
        <w:t xml:space="preserve">Compréhension </w:t>
      </w:r>
      <w:r w:rsidR="00CE31CB">
        <w:t>orale</w:t>
      </w:r>
      <w:r w:rsidRPr="00151947">
        <w:t> : Critères et grille d’évaluation</w:t>
      </w:r>
    </w:p>
    <w:p w:rsidR="002E3CCB" w:rsidRDefault="002E3CCB" w:rsidP="002E3CCB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449"/>
      </w:tblGrid>
      <w:tr w:rsidR="002E3CCB" w:rsidTr="0066682C">
        <w:tc>
          <w:tcPr>
            <w:tcW w:w="6204" w:type="dxa"/>
            <w:gridSpan w:val="2"/>
            <w:shd w:val="clear" w:color="auto" w:fill="D9D9D9" w:themeFill="background1" w:themeFillShade="D9"/>
            <w:vAlign w:val="center"/>
          </w:tcPr>
          <w:p w:rsidR="002E3CCB" w:rsidRDefault="0066682C" w:rsidP="0066682C">
            <w:pPr>
              <w:jc w:val="center"/>
              <w:rPr>
                <w:b/>
              </w:rPr>
            </w:pPr>
            <w:r>
              <w:rPr>
                <w:b/>
              </w:rPr>
              <w:t>FOOD WASTE</w:t>
            </w:r>
          </w:p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LV1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(B2)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LV2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(B1)</w:t>
            </w:r>
          </w:p>
        </w:tc>
      </w:tr>
      <w:tr w:rsidR="002E3CCB" w:rsidTr="00EB2A00">
        <w:tc>
          <w:tcPr>
            <w:tcW w:w="675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Eléments isolés</w:t>
            </w:r>
          </w:p>
          <w:p w:rsidR="00EB2A00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Pas de lien</w:t>
            </w:r>
          </w:p>
          <w:p w:rsid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Thème ou sujet non identifié</w:t>
            </w:r>
          </w:p>
          <w:p w:rsidR="0066682C" w:rsidRPr="002E3CCB" w:rsidRDefault="0066682C" w:rsidP="002E3CCB"/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2E3CCB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2E3CCB" w:rsidRDefault="002E3CCB" w:rsidP="00EB2A00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Default="002E3CCB" w:rsidP="002E3CCB">
            <w:pPr>
              <w:rPr>
                <w:b/>
              </w:rPr>
            </w:pPr>
            <w:r w:rsidRPr="002E3CCB">
              <w:rPr>
                <w:b/>
              </w:rPr>
              <w:t>Amorce de compréhension</w:t>
            </w:r>
            <w:r w:rsidR="00EB2A00">
              <w:rPr>
                <w:b/>
              </w:rPr>
              <w:t xml:space="preserve"> </w:t>
            </w:r>
          </w:p>
          <w:p w:rsidR="0066682C" w:rsidRPr="00EB2A00" w:rsidRDefault="0066682C" w:rsidP="002E3CC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  <w:tc>
          <w:tcPr>
            <w:tcW w:w="144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EB2A00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EB2A00" w:rsidRDefault="00EB2A00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A41AB4" w:rsidRDefault="00A41AB4" w:rsidP="00A41AB4">
            <w:pPr>
              <w:rPr>
                <w:szCs w:val="30"/>
              </w:rPr>
            </w:pPr>
          </w:p>
          <w:p w:rsidR="00A41AB4" w:rsidRPr="00A41AB4" w:rsidRDefault="00A41AB4" w:rsidP="00A41AB4">
            <w:pPr>
              <w:rPr>
                <w:szCs w:val="30"/>
              </w:rPr>
            </w:pPr>
          </w:p>
          <w:p w:rsidR="00A41AB4" w:rsidRPr="00EB2A00" w:rsidRDefault="00A41AB4" w:rsidP="00EB2A00">
            <w:pPr>
              <w:jc w:val="center"/>
              <w:rPr>
                <w:sz w:val="26"/>
                <w:szCs w:val="26"/>
              </w:rPr>
            </w:pPr>
            <w:bookmarkStart w:id="0" w:name="_GoBack"/>
            <w:r w:rsidRPr="00EB2A00">
              <w:rPr>
                <w:sz w:val="26"/>
                <w:szCs w:val="26"/>
              </w:rPr>
              <w:sym w:font="Wingdings 2" w:char="F0A3"/>
            </w:r>
            <w:bookmarkEnd w:id="0"/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pPr>
              <w:rPr>
                <w:b/>
              </w:rPr>
            </w:pPr>
            <w:r>
              <w:rPr>
                <w:b/>
              </w:rPr>
              <w:t>Relevé incomplet, lacunaire</w:t>
            </w:r>
          </w:p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r>
              <w:t xml:space="preserve">Thème général : </w:t>
            </w:r>
          </w:p>
          <w:p w:rsidR="00EB2A00" w:rsidRDefault="00EB2A00" w:rsidP="002E3CCB">
            <w:r>
              <w:t>L</w:t>
            </w:r>
            <w:r w:rsidRPr="00EB2A00">
              <w:t>a ville de Seattle combat le gaspillage alimentaire.</w:t>
            </w:r>
          </w:p>
          <w:p w:rsidR="00EB2A00" w:rsidRDefault="00EB2A00" w:rsidP="002E3CCB">
            <w:pPr>
              <w:rPr>
                <w:i/>
              </w:rPr>
            </w:pPr>
          </w:p>
          <w:p w:rsidR="00EB2A00" w:rsidRDefault="00EB2A00" w:rsidP="002E3CCB">
            <w:pPr>
              <w:rPr>
                <w:i/>
              </w:rPr>
            </w:pPr>
            <w:r>
              <w:rPr>
                <w:i/>
              </w:rPr>
              <w:t>+</w:t>
            </w:r>
            <w:r w:rsidR="0066682C">
              <w:rPr>
                <w:i/>
              </w:rPr>
              <w:t xml:space="preserve"> </w:t>
            </w:r>
            <w:r>
              <w:rPr>
                <w:i/>
              </w:rPr>
              <w:t>de 3 éléments relevés parmi les infos B1 et/ouB2</w:t>
            </w:r>
          </w:p>
          <w:p w:rsidR="0066682C" w:rsidRPr="00EB2A00" w:rsidRDefault="0066682C" w:rsidP="002E3CCB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5 pts</w:t>
            </w:r>
          </w:p>
        </w:tc>
        <w:tc>
          <w:tcPr>
            <w:tcW w:w="144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7 pts</w:t>
            </w:r>
          </w:p>
        </w:tc>
      </w:tr>
      <w:tr w:rsidR="0066682C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B1</w:t>
            </w:r>
          </w:p>
          <w:p w:rsidR="0066682C" w:rsidRP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EB2A00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EB2A00">
            <w:pPr>
              <w:rPr>
                <w:b/>
              </w:rPr>
            </w:pPr>
          </w:p>
          <w:p w:rsidR="0066682C" w:rsidRDefault="0066682C" w:rsidP="00EB2A00">
            <w:pPr>
              <w:rPr>
                <w:b/>
              </w:rPr>
            </w:pPr>
            <w:r>
              <w:rPr>
                <w:b/>
              </w:rPr>
              <w:t>Compréhension satisfaisante</w:t>
            </w:r>
          </w:p>
          <w:p w:rsidR="0066682C" w:rsidRDefault="0066682C" w:rsidP="00EB2A00">
            <w:pPr>
              <w:rPr>
                <w:b/>
              </w:rPr>
            </w:pPr>
          </w:p>
          <w:p w:rsidR="0066682C" w:rsidRDefault="0066682C" w:rsidP="00EB2A00">
            <w:pPr>
              <w:pStyle w:val="Paragraphedeliste"/>
              <w:numPr>
                <w:ilvl w:val="0"/>
                <w:numId w:val="3"/>
              </w:numPr>
            </w:pPr>
            <w:r>
              <w:t>Système des amendes</w:t>
            </w:r>
          </w:p>
          <w:p w:rsidR="0066682C" w:rsidRDefault="0066682C" w:rsidP="00EB2A00">
            <w:pPr>
              <w:pStyle w:val="Paragraphedeliste"/>
              <w:numPr>
                <w:ilvl w:val="0"/>
                <w:numId w:val="3"/>
              </w:numPr>
            </w:pPr>
            <w:r>
              <w:t>Seattle, ville du NO des US</w:t>
            </w:r>
          </w:p>
          <w:p w:rsidR="0066682C" w:rsidRDefault="0066682C" w:rsidP="00EB2A00">
            <w:pPr>
              <w:pStyle w:val="Paragraphedeliste"/>
              <w:numPr>
                <w:ilvl w:val="0"/>
                <w:numId w:val="3"/>
              </w:numPr>
            </w:pPr>
            <w:r>
              <w:t>1</w:t>
            </w:r>
            <w:r w:rsidRPr="00EB2A00">
              <w:rPr>
                <w:vertAlign w:val="superscript"/>
              </w:rPr>
              <w:t>er</w:t>
            </w:r>
            <w:r>
              <w:t xml:space="preserve"> janvier : mises en garde</w:t>
            </w:r>
          </w:p>
          <w:p w:rsidR="0066682C" w:rsidRDefault="0066682C" w:rsidP="00EB2A00">
            <w:pPr>
              <w:pStyle w:val="Paragraphedeliste"/>
              <w:numPr>
                <w:ilvl w:val="0"/>
                <w:numId w:val="3"/>
              </w:numPr>
            </w:pPr>
            <w:r>
              <w:t>1</w:t>
            </w:r>
            <w:r w:rsidRPr="00EB2A00">
              <w:rPr>
                <w:vertAlign w:val="superscript"/>
              </w:rPr>
              <w:t>er</w:t>
            </w:r>
            <w:r>
              <w:t xml:space="preserve"> juillet : pénalisation</w:t>
            </w:r>
          </w:p>
          <w:p w:rsidR="0066682C" w:rsidRDefault="0066682C" w:rsidP="00EB2A00">
            <w:pPr>
              <w:pStyle w:val="Paragraphedeliste"/>
              <w:numPr>
                <w:ilvl w:val="0"/>
                <w:numId w:val="3"/>
              </w:numPr>
            </w:pPr>
            <w:r>
              <w:t>40% de la nourriture achetée est gaspillée</w:t>
            </w:r>
          </w:p>
          <w:p w:rsidR="0066682C" w:rsidRDefault="0066682C" w:rsidP="00EB2A00">
            <w:pPr>
              <w:pStyle w:val="Paragraphedeliste"/>
              <w:numPr>
                <w:ilvl w:val="0"/>
                <w:numId w:val="3"/>
              </w:numPr>
            </w:pPr>
            <w:r>
              <w:t>Le recyclage est important</w:t>
            </w:r>
          </w:p>
          <w:p w:rsidR="0066682C" w:rsidRDefault="0066682C" w:rsidP="00EB2A00">
            <w:pPr>
              <w:pStyle w:val="Paragraphedeliste"/>
              <w:numPr>
                <w:ilvl w:val="0"/>
                <w:numId w:val="3"/>
              </w:numPr>
            </w:pPr>
            <w:r>
              <w:t>Un journal le « Seattle Times »</w:t>
            </w:r>
          </w:p>
          <w:p w:rsidR="0066682C" w:rsidRDefault="00151947" w:rsidP="00EB2A00">
            <w:pPr>
              <w:pStyle w:val="Paragraphedeliste"/>
              <w:numPr>
                <w:ilvl w:val="0"/>
                <w:numId w:val="3"/>
              </w:numPr>
            </w:pPr>
            <w:r>
              <w:t xml:space="preserve">Compostage  / </w:t>
            </w:r>
            <w:r w:rsidR="0066682C">
              <w:t>2</w:t>
            </w:r>
            <w:r w:rsidR="0066682C" w:rsidRPr="00EB2A00">
              <w:rPr>
                <w:vertAlign w:val="superscript"/>
              </w:rPr>
              <w:t>ème</w:t>
            </w:r>
            <w:r w:rsidR="0066682C">
              <w:t xml:space="preserve"> ville des US</w:t>
            </w:r>
          </w:p>
          <w:p w:rsidR="0066682C" w:rsidRDefault="0066682C" w:rsidP="0066682C"/>
          <w:p w:rsidR="0066682C" w:rsidRPr="00EB2A00" w:rsidRDefault="0066682C" w:rsidP="0066682C">
            <w:r>
              <w:rPr>
                <w:i/>
              </w:rPr>
              <w:t>au – 6/8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8 pts</w:t>
            </w:r>
          </w:p>
        </w:tc>
        <w:tc>
          <w:tcPr>
            <w:tcW w:w="144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</w:tr>
      <w:tr w:rsidR="0066682C" w:rsidTr="0066682C">
        <w:tc>
          <w:tcPr>
            <w:tcW w:w="675" w:type="dxa"/>
          </w:tcPr>
          <w:p w:rsidR="0066682C" w:rsidRDefault="0066682C" w:rsidP="00520D9C">
            <w:pPr>
              <w:jc w:val="center"/>
              <w:rPr>
                <w:b/>
              </w:rPr>
            </w:pPr>
          </w:p>
          <w:p w:rsid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B2</w:t>
            </w:r>
          </w:p>
          <w:p w:rsidR="0066682C" w:rsidRP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66682C" w:rsidRDefault="0066682C" w:rsidP="00520D9C">
            <w:pPr>
              <w:jc w:val="center"/>
              <w:rPr>
                <w:sz w:val="20"/>
                <w:szCs w:val="20"/>
              </w:rPr>
            </w:pP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151947" w:rsidRPr="00151947" w:rsidRDefault="00151947" w:rsidP="00520D9C">
            <w:pPr>
              <w:jc w:val="center"/>
              <w:rPr>
                <w:b/>
                <w:sz w:val="20"/>
                <w:szCs w:val="20"/>
              </w:rPr>
            </w:pP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520D9C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520D9C">
            <w:pPr>
              <w:rPr>
                <w:b/>
              </w:rPr>
            </w:pPr>
          </w:p>
          <w:p w:rsidR="0066682C" w:rsidRDefault="0066682C" w:rsidP="00520D9C">
            <w:pPr>
              <w:rPr>
                <w:b/>
              </w:rPr>
            </w:pPr>
            <w:r>
              <w:rPr>
                <w:b/>
              </w:rPr>
              <w:t>Compréhension fine</w:t>
            </w:r>
          </w:p>
          <w:p w:rsidR="0066682C" w:rsidRDefault="0066682C" w:rsidP="00520D9C">
            <w:pPr>
              <w:rPr>
                <w:b/>
              </w:rPr>
            </w:pPr>
          </w:p>
          <w:p w:rsidR="0066682C" w:rsidRDefault="0066682C" w:rsidP="00520D9C">
            <w:pPr>
              <w:pStyle w:val="Paragraphedeliste"/>
              <w:numPr>
                <w:ilvl w:val="0"/>
                <w:numId w:val="3"/>
              </w:numPr>
            </w:pPr>
            <w:r>
              <w:t>Les amendes vont inciter à</w:t>
            </w:r>
            <w:r w:rsidR="00151947">
              <w:t xml:space="preserve"> ne pas</w:t>
            </w:r>
            <w:r>
              <w:t xml:space="preserve"> gaspiller</w:t>
            </w:r>
          </w:p>
          <w:p w:rsidR="0066682C" w:rsidRDefault="0066682C" w:rsidP="00520D9C">
            <w:pPr>
              <w:pStyle w:val="Paragraphedeliste"/>
              <w:numPr>
                <w:ilvl w:val="0"/>
                <w:numId w:val="3"/>
              </w:numPr>
            </w:pPr>
            <w:r>
              <w:t>1$ d’amende si + de 10% de déchets alimentaires</w:t>
            </w:r>
          </w:p>
          <w:p w:rsidR="0066682C" w:rsidRDefault="0066682C" w:rsidP="00520D9C">
            <w:pPr>
              <w:pStyle w:val="Paragraphedeliste"/>
              <w:numPr>
                <w:ilvl w:val="0"/>
                <w:numId w:val="3"/>
              </w:numPr>
            </w:pPr>
            <w:r>
              <w:t>50$ d’amende pour les entreprises</w:t>
            </w:r>
          </w:p>
          <w:p w:rsidR="0066682C" w:rsidRDefault="0066682C" w:rsidP="00520D9C">
            <w:pPr>
              <w:pStyle w:val="Paragraphedeliste"/>
              <w:numPr>
                <w:ilvl w:val="0"/>
                <w:numId w:val="3"/>
              </w:numPr>
            </w:pPr>
            <w:r>
              <w:t>Seattle veut augmenter les déchets à recycler de 56% à 60%</w:t>
            </w:r>
          </w:p>
          <w:p w:rsidR="0066682C" w:rsidRDefault="0066682C" w:rsidP="00520D9C">
            <w:pPr>
              <w:pStyle w:val="Paragraphedeliste"/>
              <w:numPr>
                <w:ilvl w:val="0"/>
                <w:numId w:val="3"/>
              </w:numPr>
            </w:pPr>
            <w:r>
              <w:t>Le compostage est obligatoire à Seattle</w:t>
            </w:r>
          </w:p>
          <w:p w:rsidR="00151947" w:rsidRDefault="00151947" w:rsidP="00520D9C">
            <w:pPr>
              <w:pStyle w:val="Paragraphedeliste"/>
              <w:numPr>
                <w:ilvl w:val="0"/>
                <w:numId w:val="3"/>
              </w:numPr>
            </w:pPr>
            <w:r>
              <w:t>Nouveau dispositif mis en place par les services publics de la ville de Seattle</w:t>
            </w:r>
          </w:p>
          <w:p w:rsidR="00151947" w:rsidRDefault="00151947" w:rsidP="00520D9C">
            <w:pPr>
              <w:pStyle w:val="Paragraphedeliste"/>
              <w:numPr>
                <w:ilvl w:val="0"/>
                <w:numId w:val="3"/>
              </w:numPr>
            </w:pPr>
            <w:r>
              <w:t>Pas d’enjeu pécuniaire</w:t>
            </w:r>
          </w:p>
          <w:p w:rsidR="00151947" w:rsidRDefault="00151947" w:rsidP="00151947">
            <w:pPr>
              <w:pStyle w:val="Paragraphedeliste"/>
            </w:pPr>
          </w:p>
          <w:p w:rsidR="0066682C" w:rsidRPr="00EB2A00" w:rsidRDefault="0066682C" w:rsidP="0066682C">
            <w:r>
              <w:rPr>
                <w:i/>
              </w:rPr>
              <w:t>au – 5/7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  <w:tr w:rsidR="0066682C" w:rsidTr="008278A4">
        <w:tc>
          <w:tcPr>
            <w:tcW w:w="6204" w:type="dxa"/>
            <w:gridSpan w:val="2"/>
          </w:tcPr>
          <w:p w:rsidR="0066682C" w:rsidRDefault="0066682C" w:rsidP="0066682C">
            <w:pPr>
              <w:jc w:val="right"/>
              <w:rPr>
                <w:b/>
              </w:rPr>
            </w:pPr>
            <w:r>
              <w:rPr>
                <w:b/>
              </w:rPr>
              <w:t>TOTAL sur 10 points :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  <w:tc>
          <w:tcPr>
            <w:tcW w:w="144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</w:tbl>
    <w:p w:rsidR="002E3CCB" w:rsidRPr="002E3CCB" w:rsidRDefault="002E3CCB" w:rsidP="002E3CCB">
      <w:pPr>
        <w:jc w:val="center"/>
        <w:rPr>
          <w:b/>
        </w:rPr>
      </w:pPr>
    </w:p>
    <w:p w:rsidR="00891550" w:rsidRDefault="00891550" w:rsidP="00891550"/>
    <w:sectPr w:rsidR="00891550" w:rsidSect="002E3C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1D9"/>
    <w:multiLevelType w:val="hybridMultilevel"/>
    <w:tmpl w:val="37229590"/>
    <w:lvl w:ilvl="0" w:tplc="9CCE2D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B07C0"/>
    <w:multiLevelType w:val="hybridMultilevel"/>
    <w:tmpl w:val="494C7CE4"/>
    <w:lvl w:ilvl="0" w:tplc="C328582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960E5"/>
    <w:multiLevelType w:val="hybridMultilevel"/>
    <w:tmpl w:val="D89ECEF4"/>
    <w:lvl w:ilvl="0" w:tplc="5C545E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CB"/>
    <w:rsid w:val="000846EC"/>
    <w:rsid w:val="00151947"/>
    <w:rsid w:val="0028345A"/>
    <w:rsid w:val="002E3CCB"/>
    <w:rsid w:val="0066682C"/>
    <w:rsid w:val="00891550"/>
    <w:rsid w:val="009E22BF"/>
    <w:rsid w:val="00A41AB4"/>
    <w:rsid w:val="00CE31CB"/>
    <w:rsid w:val="00E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akingnewsenglish.com/1409/140926-food-was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4</cp:revision>
  <dcterms:created xsi:type="dcterms:W3CDTF">2016-06-10T09:00:00Z</dcterms:created>
  <dcterms:modified xsi:type="dcterms:W3CDTF">2016-06-12T20:10:00Z</dcterms:modified>
</cp:coreProperties>
</file>