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25" w:rsidRPr="00052BEF" w:rsidRDefault="00315225" w:rsidP="00315225">
      <w:pPr>
        <w:rPr>
          <w:lang w:val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fr-FR" w:eastAsia="fr-FR"/>
        </w:rPr>
        <w:t>source</w:t>
      </w:r>
      <w:proofErr w:type="gramEnd"/>
      <w:r>
        <w:rPr>
          <w:rFonts w:ascii="Times New Roman" w:eastAsia="Times New Roman" w:hAnsi="Times New Roman" w:cs="Times New Roman"/>
          <w:color w:val="000000"/>
          <w:lang w:val="fr-FR" w:eastAsia="fr-FR"/>
        </w:rPr>
        <w:t xml:space="preserve"> </w:t>
      </w:r>
      <w:hyperlink r:id="rId6" w:anchor="ixzz40WEKFYZb" w:history="1">
        <w:r w:rsidRPr="00052BEF">
          <w:rPr>
            <w:rFonts w:ascii="Times New Roman" w:eastAsia="Times New Roman" w:hAnsi="Times New Roman" w:cs="Times New Roman"/>
            <w:color w:val="003399"/>
            <w:u w:val="single"/>
            <w:lang w:val="fr-FR" w:eastAsia="fr-FR"/>
          </w:rPr>
          <w:t>http://www.dailymail.co.uk/news/article-3222108/Britain-accept-thousands-Syrians-living-refugee-camps-NOT-open-door-migrants-reached-Europe.html#ixzz40WEKFYZb</w:t>
        </w:r>
      </w:hyperlink>
    </w:p>
    <w:p w:rsidR="0012532A" w:rsidRPr="00315225" w:rsidRDefault="0012532A" w:rsidP="0012532A">
      <w:pPr>
        <w:ind w:left="-567"/>
        <w:rPr>
          <w:rFonts w:ascii="Arial Narrow" w:hAnsi="Arial Narrow"/>
          <w:sz w:val="40"/>
          <w:lang w:val="fr-FR"/>
        </w:rPr>
      </w:pPr>
    </w:p>
    <w:tbl>
      <w:tblPr>
        <w:tblStyle w:val="Grilledutableau"/>
        <w:tblW w:w="10916" w:type="dxa"/>
        <w:tblInd w:w="-743" w:type="dxa"/>
        <w:tblLayout w:type="fixed"/>
        <w:tblLook w:val="00BF" w:firstRow="1" w:lastRow="0" w:firstColumn="1" w:lastColumn="0" w:noHBand="0" w:noVBand="0"/>
      </w:tblPr>
      <w:tblGrid>
        <w:gridCol w:w="1101"/>
        <w:gridCol w:w="8114"/>
        <w:gridCol w:w="850"/>
        <w:gridCol w:w="851"/>
      </w:tblGrid>
      <w:tr w:rsidR="00492864" w:rsidRPr="00A058E8">
        <w:trPr>
          <w:trHeight w:val="568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92864" w:rsidRPr="0069067F" w:rsidRDefault="00A058E8" w:rsidP="0069067F">
            <w:pPr>
              <w:jc w:val="center"/>
              <w:rPr>
                <w:rFonts w:ascii="Arial Black" w:hAnsi="Arial Black"/>
                <w:sz w:val="20"/>
                <w:lang w:val="fr-FR"/>
              </w:rPr>
            </w:pPr>
            <w:r w:rsidRPr="0069067F">
              <w:rPr>
                <w:rFonts w:ascii="Arial Black" w:hAnsi="Arial Black"/>
                <w:sz w:val="20"/>
                <w:lang w:val="fr-FR"/>
              </w:rPr>
              <w:t>CECRL</w:t>
            </w:r>
          </w:p>
        </w:tc>
        <w:tc>
          <w:tcPr>
            <w:tcW w:w="8114" w:type="dxa"/>
            <w:vAlign w:val="center"/>
          </w:tcPr>
          <w:p w:rsidR="00492864" w:rsidRPr="00052BEF" w:rsidRDefault="00052BEF" w:rsidP="00052BE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052BEF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fr-FR"/>
              </w:rPr>
              <w:t>'Britain will act with our head and our heart' David Cameron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LV1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LV2</w:t>
            </w:r>
          </w:p>
        </w:tc>
      </w:tr>
      <w:tr w:rsidR="00492864" w:rsidRPr="00A058E8">
        <w:trPr>
          <w:trHeight w:val="76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Hors Cadre</w:t>
            </w:r>
          </w:p>
        </w:tc>
        <w:tc>
          <w:tcPr>
            <w:tcW w:w="8114" w:type="dxa"/>
            <w:vAlign w:val="center"/>
          </w:tcPr>
          <w:p w:rsidR="00492864" w:rsidRPr="004B6EBE" w:rsidRDefault="00492864" w:rsidP="00C166D0">
            <w:pPr>
              <w:jc w:val="center"/>
              <w:rPr>
                <w:b/>
                <w:lang w:val="fr-FR"/>
              </w:rPr>
            </w:pPr>
            <w:r w:rsidRPr="004B6EBE">
              <w:rPr>
                <w:b/>
                <w:lang w:val="fr-FR"/>
              </w:rPr>
              <w:t>Le candidat n'a pas compris le document. Il n'est pas parvenu à identifier le sujet / thème du document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2</w:t>
            </w:r>
          </w:p>
        </w:tc>
      </w:tr>
      <w:tr w:rsidR="00492864" w:rsidRPr="00A058E8">
        <w:trPr>
          <w:trHeight w:val="1259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A1</w:t>
            </w:r>
          </w:p>
        </w:tc>
        <w:tc>
          <w:tcPr>
            <w:tcW w:w="8114" w:type="dxa"/>
            <w:vAlign w:val="center"/>
          </w:tcPr>
          <w:p w:rsidR="008221C1" w:rsidRPr="007A538F" w:rsidRDefault="00492864" w:rsidP="008221C1">
            <w:pPr>
              <w:rPr>
                <w:lang w:val="fr-FR"/>
              </w:rPr>
            </w:pPr>
            <w:r w:rsidRPr="004B6EBE">
              <w:rPr>
                <w:b/>
                <w:lang w:val="fr-FR"/>
              </w:rPr>
              <w:t xml:space="preserve">Le candidat </w:t>
            </w:r>
            <w:r w:rsidR="008221C1">
              <w:rPr>
                <w:b/>
                <w:lang w:val="fr-FR"/>
              </w:rPr>
              <w:t>a compris:</w:t>
            </w:r>
            <w:r w:rsidR="007A538F">
              <w:rPr>
                <w:b/>
                <w:lang w:val="fr-FR"/>
              </w:rPr>
              <w:t xml:space="preserve"> </w:t>
            </w:r>
            <w:r w:rsidR="00C166D0">
              <w:rPr>
                <w:b/>
                <w:lang w:val="fr-FR"/>
              </w:rPr>
              <w:t xml:space="preserve">                           </w:t>
            </w:r>
            <w:r w:rsidR="007A538F" w:rsidRPr="00C166D0">
              <w:rPr>
                <w:rFonts w:ascii="Arial Black" w:hAnsi="Arial Black"/>
                <w:sz w:val="18"/>
                <w:lang w:val="fr-FR"/>
              </w:rPr>
              <w:t xml:space="preserve">(validé si 2 él. ont été </w:t>
            </w:r>
            <w:r w:rsidR="00C166D0" w:rsidRPr="00C166D0">
              <w:rPr>
                <w:rFonts w:ascii="Arial Black" w:hAnsi="Arial Black"/>
                <w:sz w:val="18"/>
                <w:lang w:val="fr-FR"/>
              </w:rPr>
              <w:t>repérés</w:t>
            </w:r>
            <w:r w:rsidR="007A538F" w:rsidRPr="00C166D0">
              <w:rPr>
                <w:rFonts w:ascii="Arial Black" w:hAnsi="Arial Black"/>
                <w:sz w:val="18"/>
                <w:lang w:val="fr-FR"/>
              </w:rPr>
              <w:t xml:space="preserve"> sur les 3)</w:t>
            </w:r>
          </w:p>
          <w:p w:rsidR="00052BEF" w:rsidRDefault="008221C1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052BEF">
              <w:rPr>
                <w:lang w:val="fr-FR"/>
              </w:rPr>
              <w:t xml:space="preserve">qu'il s'agit d'un </w:t>
            </w:r>
            <w:r w:rsidR="00052BEF" w:rsidRPr="00052BEF">
              <w:rPr>
                <w:lang w:val="fr-FR"/>
              </w:rPr>
              <w:t>discours</w:t>
            </w:r>
            <w:r w:rsidR="00FF0360" w:rsidRPr="00052BEF">
              <w:rPr>
                <w:lang w:val="fr-FR"/>
              </w:rPr>
              <w:t xml:space="preserve">, </w:t>
            </w:r>
            <w:r w:rsidR="00052BEF" w:rsidRPr="00052BEF">
              <w:rPr>
                <w:lang w:val="fr-FR"/>
              </w:rPr>
              <w:t xml:space="preserve"> </w:t>
            </w:r>
          </w:p>
          <w:p w:rsidR="00052BEF" w:rsidRPr="00052BEF" w:rsidRDefault="008221C1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052BEF">
              <w:rPr>
                <w:lang w:val="fr-FR"/>
              </w:rPr>
              <w:t xml:space="preserve"> </w:t>
            </w:r>
            <w:r w:rsidR="00052BEF" w:rsidRPr="00052BEF">
              <w:rPr>
                <w:lang w:val="fr-FR"/>
              </w:rPr>
              <w:t>donné par David Cameron</w:t>
            </w:r>
            <w:r w:rsidR="00FF0360" w:rsidRPr="00052BEF">
              <w:rPr>
                <w:lang w:val="fr-FR"/>
              </w:rPr>
              <w:t xml:space="preserve">, </w:t>
            </w:r>
          </w:p>
          <w:p w:rsidR="00492864" w:rsidRPr="00052BEF" w:rsidRDefault="00052BEF" w:rsidP="00052BEF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052BEF">
              <w:rPr>
                <w:lang w:val="fr-FR"/>
              </w:rPr>
              <w:t>à propos de l’accueil de réfugiés syriens</w:t>
            </w:r>
            <w:r w:rsidR="008221C1" w:rsidRPr="00052BEF">
              <w:rPr>
                <w:lang w:val="fr-FR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4</w:t>
            </w:r>
          </w:p>
        </w:tc>
      </w:tr>
      <w:tr w:rsidR="00492864" w:rsidRPr="00A058E8">
        <w:trPr>
          <w:trHeight w:val="981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92864" w:rsidRPr="0069067F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A2</w:t>
            </w:r>
          </w:p>
        </w:tc>
        <w:tc>
          <w:tcPr>
            <w:tcW w:w="8114" w:type="dxa"/>
            <w:vAlign w:val="center"/>
          </w:tcPr>
          <w:p w:rsidR="00FF0360" w:rsidRDefault="00C166D0" w:rsidP="007A538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 candidat n'a</w:t>
            </w:r>
            <w:r w:rsidR="00FF0360">
              <w:rPr>
                <w:b/>
                <w:lang w:val="fr-FR"/>
              </w:rPr>
              <w:t xml:space="preserve"> relevé que des éléments isolés</w:t>
            </w:r>
            <w:r>
              <w:rPr>
                <w:b/>
                <w:lang w:val="fr-FR"/>
              </w:rPr>
              <w:t>,</w:t>
            </w:r>
            <w:r w:rsidR="00FF0360">
              <w:rPr>
                <w:b/>
                <w:lang w:val="fr-FR"/>
              </w:rPr>
              <w:t xml:space="preserve"> qu'il n'a pas su mettre en relation.</w:t>
            </w:r>
          </w:p>
          <w:p w:rsidR="00492864" w:rsidRPr="00FF0360" w:rsidRDefault="008221C1" w:rsidP="007A538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 candidat se situe entre le niveau A1 et B1.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8D7A89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>7</w:t>
            </w:r>
          </w:p>
        </w:tc>
      </w:tr>
      <w:tr w:rsidR="00492864" w:rsidRPr="00A058E8">
        <w:trPr>
          <w:trHeight w:val="2835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01C96" w:rsidRDefault="00492864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B1</w:t>
            </w:r>
          </w:p>
          <w:p w:rsidR="00201C96" w:rsidRDefault="00DE7D39" w:rsidP="0069067F">
            <w:pPr>
              <w:jc w:val="center"/>
              <w:rPr>
                <w:rFonts w:ascii="Arial Black" w:hAnsi="Arial Black"/>
                <w:sz w:val="16"/>
                <w:lang w:val="fr-FR"/>
              </w:rPr>
            </w:pPr>
            <w:r>
              <w:rPr>
                <w:rFonts w:ascii="Arial Black" w:hAnsi="Arial Black"/>
                <w:sz w:val="16"/>
                <w:lang w:val="fr-FR"/>
              </w:rPr>
              <w:t>8</w:t>
            </w:r>
          </w:p>
          <w:p w:rsidR="00492864" w:rsidRPr="0069067F" w:rsidRDefault="00201C96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201C96">
              <w:rPr>
                <w:rFonts w:ascii="Arial Black" w:hAnsi="Arial Black"/>
                <w:sz w:val="16"/>
                <w:lang w:val="fr-FR"/>
              </w:rPr>
              <w:t>éléments</w:t>
            </w:r>
          </w:p>
        </w:tc>
        <w:tc>
          <w:tcPr>
            <w:tcW w:w="8114" w:type="dxa"/>
            <w:vAlign w:val="center"/>
          </w:tcPr>
          <w:p w:rsidR="00DE7D39" w:rsidRDefault="00DE7D39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 xml:space="preserve">David Cameron fait le bilan humain </w:t>
            </w:r>
            <w:r>
              <w:rPr>
                <w:b/>
                <w:u w:val="single"/>
                <w:lang w:val="fr-FR"/>
              </w:rPr>
              <w:t>des réfugiés</w:t>
            </w:r>
            <w:r>
              <w:rPr>
                <w:b/>
                <w:u w:val="single"/>
                <w:lang w:val="fr-FR"/>
              </w:rPr>
              <w:t xml:space="preserve"> </w:t>
            </w:r>
          </w:p>
          <w:p w:rsidR="00DE7D39" w:rsidRDefault="00DE7D39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Et le bilan de l’action de la GB</w:t>
            </w:r>
          </w:p>
          <w:p w:rsidR="00DE7D39" w:rsidRPr="00DE7D39" w:rsidRDefault="00DE7D39" w:rsidP="00DE7D39">
            <w:pPr>
              <w:rPr>
                <w:sz w:val="22"/>
                <w:lang w:val="fr-FR"/>
              </w:rPr>
            </w:pPr>
            <w:r w:rsidRPr="00DE7D39">
              <w:rPr>
                <w:sz w:val="22"/>
                <w:lang w:val="fr-FR"/>
              </w:rPr>
              <w:t xml:space="preserve">Les réfugiés :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déjà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plus de 220.000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réfugiés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vers l'Europe.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3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fois plus que l'année dernière. </w:t>
            </w:r>
          </w:p>
          <w:p w:rsid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beaucoup de Syriens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le conflit syrien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a forcé plus de 11 millions de personnes à fuir.</w:t>
            </w:r>
          </w:p>
          <w:p w:rsidR="00DE7D39" w:rsidRDefault="00DE7D39" w:rsidP="00DE7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554BA2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La Grande-Bretagne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 :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une responsabilité morale d'aider les réfugiés comme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elle l’a toujours fait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.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fourni plus de 900 millions livres d'aide </w:t>
            </w:r>
          </w:p>
          <w:p w:rsidR="00DE7D39" w:rsidRPr="00315225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315225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financé des abris, de la nourriture, de l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'eau, des fournitures médicales (</w:t>
            </w:r>
            <w:r w:rsidRPr="00DE7D39">
              <w:rPr>
                <w:rFonts w:ascii="Courier New" w:eastAsia="Times New Roman" w:hAnsi="Courier New" w:cs="Courier New"/>
                <w:b/>
                <w:sz w:val="20"/>
                <w:szCs w:val="20"/>
                <w:lang w:val="fr-FR" w:eastAsia="fr-FR"/>
              </w:rPr>
              <w:t>validé si 3 sur 4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)</w:t>
            </w:r>
          </w:p>
          <w:p w:rsidR="00492864" w:rsidRPr="00DE7D39" w:rsidRDefault="00DE7D39" w:rsidP="00DE7D39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déjà accepté environ 5.000 Syriens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10</w:t>
            </w:r>
          </w:p>
        </w:tc>
      </w:tr>
      <w:tr w:rsidR="00492864" w:rsidRPr="00A058E8">
        <w:trPr>
          <w:trHeight w:val="1261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01C96" w:rsidRDefault="00A058E8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B2</w:t>
            </w:r>
          </w:p>
          <w:p w:rsidR="00492864" w:rsidRPr="00201C96" w:rsidRDefault="00DE7D39" w:rsidP="0069067F">
            <w:pPr>
              <w:jc w:val="center"/>
              <w:rPr>
                <w:rFonts w:ascii="Arial Black" w:hAnsi="Arial Black"/>
                <w:sz w:val="16"/>
                <w:lang w:val="fr-FR"/>
              </w:rPr>
            </w:pPr>
            <w:r>
              <w:rPr>
                <w:rFonts w:ascii="Arial Black" w:hAnsi="Arial Black"/>
                <w:sz w:val="16"/>
                <w:lang w:val="fr-FR"/>
              </w:rPr>
              <w:t>11</w:t>
            </w:r>
            <w:bookmarkStart w:id="0" w:name="_GoBack"/>
            <w:bookmarkEnd w:id="0"/>
            <w:r w:rsidR="00201C96" w:rsidRPr="00201C96">
              <w:rPr>
                <w:rFonts w:ascii="Arial Black" w:hAnsi="Arial Black"/>
                <w:sz w:val="16"/>
                <w:lang w:val="fr-FR"/>
              </w:rPr>
              <w:t xml:space="preserve"> éléments</w:t>
            </w:r>
          </w:p>
        </w:tc>
        <w:tc>
          <w:tcPr>
            <w:tcW w:w="8114" w:type="dxa"/>
            <w:vAlign w:val="center"/>
          </w:tcPr>
          <w:p w:rsidR="00DE7D39" w:rsidRDefault="00DE7D39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 xml:space="preserve">David Cameron fait le bilan humain des réfugiés </w:t>
            </w:r>
          </w:p>
          <w:p w:rsidR="00DE7D39" w:rsidRDefault="00DE7D39" w:rsidP="00DE7D39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Et le bilan de l’action de la GB</w:t>
            </w:r>
          </w:p>
          <w:p w:rsidR="00DE7D39" w:rsidRPr="00DE7D39" w:rsidRDefault="00DE7D39" w:rsidP="00DE7D39">
            <w:pPr>
              <w:rPr>
                <w:sz w:val="22"/>
                <w:lang w:val="fr-FR"/>
              </w:rPr>
            </w:pPr>
            <w:r w:rsidRPr="00DE7D39">
              <w:rPr>
                <w:sz w:val="22"/>
                <w:lang w:val="fr-FR"/>
              </w:rPr>
              <w:t xml:space="preserve">Les réfugiés :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déjà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plus de 220.000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réfugiés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vers l'Europe. </w:t>
            </w:r>
          </w:p>
          <w:p w:rsid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plus de 100.000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en Juillet seulement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3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fois plus que l'année dernière. </w:t>
            </w:r>
          </w:p>
          <w:p w:rsid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beaucoup de Syriens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le conflit syrien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a tué plus de 220.000 personnes et forcé plus de 11 millions de personnes à fuir.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Ils font maintenant face à deux ennemis dans leur pays : Assad et ISIL. </w:t>
            </w:r>
          </w:p>
          <w:p w:rsidR="00DE7D39" w:rsidRDefault="00DE7D39" w:rsidP="00DE7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554BA2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La Grande-Bretagne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 :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une responsabilité morale d'aider les réfugiés comme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elle l’a toujours fait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. </w:t>
            </w:r>
          </w:p>
          <w:p w:rsidR="00DE7D39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deuxième plus important donateur bilatéral à la crise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 syrienne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, </w:t>
            </w:r>
          </w:p>
          <w:p w:rsidR="00DE7D39" w:rsidRPr="00DE7D39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fourni plus de 900 millions livres d'aide </w:t>
            </w:r>
          </w:p>
          <w:p w:rsidR="00DE7D39" w:rsidRPr="00315225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315225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financé des abris, de la nourriture, de l'eau, des fournitures médicales vitales pour des millions de réfugiés dans les pays comme la Jordanie et le Liban. </w:t>
            </w:r>
          </w:p>
          <w:p w:rsidR="00492864" w:rsidRPr="000548A6" w:rsidRDefault="00DE7D39" w:rsidP="00DE7D39">
            <w:pPr>
              <w:pStyle w:val="Paragraphedeliste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fr-F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 xml:space="preserve">a </w:t>
            </w:r>
            <w:r w:rsidRPr="00DE7D39">
              <w:rPr>
                <w:rFonts w:ascii="Courier New" w:eastAsia="Times New Roman" w:hAnsi="Courier New" w:cs="Courier New"/>
                <w:sz w:val="20"/>
                <w:szCs w:val="20"/>
                <w:lang w:val="fr-FR" w:eastAsia="fr-FR"/>
              </w:rPr>
              <w:t>déjà accepté environ 5.000 Syriens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92864" w:rsidRPr="0069067F" w:rsidRDefault="003F185A" w:rsidP="0069067F">
            <w:pPr>
              <w:jc w:val="center"/>
              <w:rPr>
                <w:rFonts w:ascii="Arial Black" w:hAnsi="Arial Black"/>
                <w:lang w:val="fr-FR"/>
              </w:rPr>
            </w:pPr>
            <w:r w:rsidRPr="0069067F">
              <w:rPr>
                <w:rFonts w:ascii="Arial Black" w:hAnsi="Arial Black"/>
                <w:lang w:val="fr-FR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92864" w:rsidRPr="0069067F" w:rsidRDefault="00C166D0" w:rsidP="0069067F">
            <w:pPr>
              <w:jc w:val="center"/>
              <w:rPr>
                <w:rFonts w:ascii="Arial Black" w:hAnsi="Arial Black"/>
                <w:lang w:val="fr-FR"/>
              </w:rPr>
            </w:pPr>
            <w:r>
              <w:rPr>
                <w:rFonts w:ascii="Arial Black" w:hAnsi="Arial Black"/>
                <w:lang w:val="fr-FR"/>
              </w:rPr>
              <w:t xml:space="preserve"> </w:t>
            </w:r>
          </w:p>
        </w:tc>
      </w:tr>
    </w:tbl>
    <w:p w:rsidR="0012532A" w:rsidRDefault="004B6EBE" w:rsidP="00201C96">
      <w:pPr>
        <w:rPr>
          <w:lang w:val="fr-FR"/>
        </w:rPr>
      </w:pPr>
      <w:r w:rsidRPr="0012532A">
        <w:rPr>
          <w:u w:val="single"/>
          <w:lang w:val="fr-FR"/>
        </w:rPr>
        <w:t>Le candidat valide le niveau B1</w:t>
      </w:r>
      <w:r>
        <w:rPr>
          <w:lang w:val="fr-FR"/>
        </w:rPr>
        <w:t xml:space="preserve"> s'il repère</w:t>
      </w:r>
      <w:r w:rsidR="002E6B52">
        <w:rPr>
          <w:lang w:val="fr-FR"/>
        </w:rPr>
        <w:t xml:space="preserve"> </w:t>
      </w:r>
      <w:r w:rsidR="00563293">
        <w:rPr>
          <w:lang w:val="fr-FR"/>
        </w:rPr>
        <w:t xml:space="preserve">au moins </w:t>
      </w:r>
      <w:r w:rsidR="0069697A">
        <w:rPr>
          <w:lang w:val="fr-FR"/>
        </w:rPr>
        <w:t>6</w:t>
      </w:r>
      <w:r w:rsidR="002E6B52">
        <w:rPr>
          <w:lang w:val="fr-FR"/>
        </w:rPr>
        <w:t xml:space="preserve">B1 ou </w:t>
      </w:r>
      <w:r w:rsidR="0069697A">
        <w:rPr>
          <w:lang w:val="fr-FR"/>
        </w:rPr>
        <w:t>5</w:t>
      </w:r>
      <w:r w:rsidR="00A77811">
        <w:rPr>
          <w:lang w:val="fr-FR"/>
        </w:rPr>
        <w:t>B1+</w:t>
      </w:r>
      <w:r w:rsidR="00FE7313">
        <w:rPr>
          <w:lang w:val="fr-FR"/>
        </w:rPr>
        <w:t xml:space="preserve"> au moins </w:t>
      </w:r>
      <w:r w:rsidR="00A77811">
        <w:rPr>
          <w:lang w:val="fr-FR"/>
        </w:rPr>
        <w:t xml:space="preserve">1B2 </w:t>
      </w:r>
      <w:r w:rsidR="0069697A">
        <w:rPr>
          <w:lang w:val="fr-FR"/>
        </w:rPr>
        <w:t>ou 4</w:t>
      </w:r>
      <w:r w:rsidR="00FE7313">
        <w:rPr>
          <w:lang w:val="fr-FR"/>
        </w:rPr>
        <w:t>B1+ au moins 2B2</w:t>
      </w:r>
      <w:r w:rsidR="0069697A">
        <w:rPr>
          <w:lang w:val="fr-FR"/>
        </w:rPr>
        <w:t xml:space="preserve"> ou 3B1+ 3B2</w:t>
      </w:r>
    </w:p>
    <w:p w:rsidR="00052BEF" w:rsidRDefault="003F185A">
      <w:pPr>
        <w:rPr>
          <w:lang w:val="fr-FR"/>
        </w:rPr>
      </w:pPr>
      <w:r w:rsidRPr="0012532A">
        <w:rPr>
          <w:u w:val="single"/>
          <w:lang w:val="fr-FR"/>
        </w:rPr>
        <w:t>Le candidat valide le niveau B2</w:t>
      </w:r>
      <w:r w:rsidRPr="0069067F">
        <w:rPr>
          <w:lang w:val="fr-FR"/>
        </w:rPr>
        <w:t xml:space="preserve"> s'il </w:t>
      </w:r>
      <w:r w:rsidR="004B6EBE">
        <w:rPr>
          <w:lang w:val="fr-FR"/>
        </w:rPr>
        <w:t>repère</w:t>
      </w:r>
      <w:r w:rsidRPr="0069067F">
        <w:rPr>
          <w:lang w:val="fr-FR"/>
        </w:rPr>
        <w:t xml:space="preserve"> </w:t>
      </w:r>
      <w:r w:rsidR="00A77811">
        <w:rPr>
          <w:lang w:val="fr-FR"/>
        </w:rPr>
        <w:t xml:space="preserve">au moins </w:t>
      </w:r>
      <w:r w:rsidR="002E6B52">
        <w:rPr>
          <w:lang w:val="fr-FR"/>
        </w:rPr>
        <w:t xml:space="preserve">4B2 </w:t>
      </w:r>
    </w:p>
    <w:p w:rsidR="00052BEF" w:rsidRDefault="00052BEF">
      <w:pPr>
        <w:rPr>
          <w:lang w:val="fr-FR"/>
        </w:rPr>
      </w:pPr>
      <w:r>
        <w:rPr>
          <w:lang w:val="fr-FR"/>
        </w:rPr>
        <w:br w:type="page"/>
      </w:r>
    </w:p>
    <w:p w:rsidR="00492864" w:rsidRDefault="00492864">
      <w:pPr>
        <w:rPr>
          <w:lang w:val="fr-FR"/>
        </w:rPr>
      </w:pPr>
    </w:p>
    <w:p w:rsidR="007523DC" w:rsidRDefault="007523DC">
      <w:pPr>
        <w:rPr>
          <w:lang w:val="fr-FR"/>
        </w:rPr>
      </w:pPr>
    </w:p>
    <w:p w:rsidR="00052BEF" w:rsidRDefault="00052BEF" w:rsidP="00052BEF">
      <w:pPr>
        <w:rPr>
          <w:lang w:val="fr-FR"/>
        </w:rPr>
      </w:pPr>
    </w:p>
    <w:p w:rsidR="00052BEF" w:rsidRPr="00052BEF" w:rsidRDefault="00052BEF" w:rsidP="00052BEF">
      <w:pPr>
        <w:rPr>
          <w:b/>
          <w:color w:val="FF0000"/>
          <w:lang w:val="fr-FR"/>
        </w:rPr>
      </w:pPr>
      <w:proofErr w:type="gramStart"/>
      <w:r w:rsidRPr="00052BEF">
        <w:rPr>
          <w:b/>
          <w:color w:val="FF0000"/>
          <w:lang w:val="fr-FR"/>
        </w:rPr>
        <w:t>à</w:t>
      </w:r>
      <w:proofErr w:type="gramEnd"/>
      <w:r w:rsidRPr="00052BEF">
        <w:rPr>
          <w:b/>
          <w:color w:val="FF0000"/>
          <w:lang w:val="fr-FR"/>
        </w:rPr>
        <w:t xml:space="preserve"> marquer au Tableau : </w:t>
      </w:r>
    </w:p>
    <w:p w:rsidR="007523DC" w:rsidRPr="00052BEF" w:rsidRDefault="00052BEF" w:rsidP="00052BEF">
      <w:pPr>
        <w:pStyle w:val="Paragraphedeliste"/>
        <w:numPr>
          <w:ilvl w:val="0"/>
          <w:numId w:val="1"/>
        </w:num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kern w:val="36"/>
          <w:sz w:val="21"/>
          <w:szCs w:val="21"/>
          <w:lang w:eastAsia="fr-FR"/>
        </w:rPr>
      </w:pPr>
      <w:r w:rsidRPr="00052BEF">
        <w:rPr>
          <w:rFonts w:ascii="Open Sans" w:hAnsi="Open Sans" w:cs="Open Sans"/>
          <w:b/>
          <w:sz w:val="21"/>
          <w:szCs w:val="21"/>
        </w:rPr>
        <w:t xml:space="preserve">Titre : </w:t>
      </w:r>
      <w:r w:rsidRPr="00052BEF">
        <w:rPr>
          <w:rFonts w:ascii="Open Sans" w:eastAsia="Times New Roman" w:hAnsi="Open Sans" w:cs="Open Sans"/>
          <w:b/>
          <w:bCs/>
          <w:kern w:val="36"/>
          <w:sz w:val="21"/>
          <w:szCs w:val="21"/>
          <w:lang w:eastAsia="fr-FR"/>
        </w:rPr>
        <w:t>'Britain will act with our head and our heart'</w:t>
      </w:r>
      <w:r w:rsidRPr="00052BEF">
        <w:rPr>
          <w:rFonts w:ascii="Open Sans" w:eastAsia="Times New Roman" w:hAnsi="Open Sans" w:cs="Open Sans"/>
          <w:b/>
          <w:bCs/>
          <w:kern w:val="36"/>
          <w:sz w:val="21"/>
          <w:szCs w:val="21"/>
          <w:lang w:eastAsia="fr-FR"/>
        </w:rPr>
        <w:t xml:space="preserve"> David Ca</w:t>
      </w:r>
      <w:r w:rsidRPr="00052BEF">
        <w:rPr>
          <w:rFonts w:ascii="Open Sans" w:eastAsia="Times New Roman" w:hAnsi="Open Sans" w:cs="Open Sans"/>
          <w:b/>
          <w:bCs/>
          <w:kern w:val="36"/>
          <w:sz w:val="21"/>
          <w:szCs w:val="21"/>
          <w:lang w:eastAsia="fr-FR"/>
        </w:rPr>
        <w:t>meron</w:t>
      </w:r>
    </w:p>
    <w:p w:rsidR="00052BEF" w:rsidRPr="00052BEF" w:rsidRDefault="00052BEF" w:rsidP="00052BEF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bCs/>
          <w:color w:val="000000"/>
          <w:sz w:val="21"/>
          <w:szCs w:val="21"/>
        </w:rPr>
      </w:pPr>
      <w:proofErr w:type="spellStart"/>
      <w:r w:rsidRPr="00052BEF">
        <w:rPr>
          <w:rFonts w:ascii="Open Sans" w:hAnsi="Open Sans" w:cs="Open Sans"/>
          <w:b/>
          <w:bCs/>
          <w:color w:val="000000"/>
          <w:sz w:val="21"/>
          <w:szCs w:val="21"/>
        </w:rPr>
        <w:t>Noms</w:t>
      </w:r>
      <w:proofErr w:type="spellEnd"/>
      <w:r w:rsidRPr="00052BEF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proofErr w:type="spellStart"/>
      <w:r w:rsidRPr="00052BEF">
        <w:rPr>
          <w:rFonts w:ascii="Open Sans" w:hAnsi="Open Sans" w:cs="Open Sans"/>
          <w:b/>
          <w:bCs/>
          <w:color w:val="000000"/>
          <w:sz w:val="21"/>
          <w:szCs w:val="21"/>
        </w:rPr>
        <w:t>propres</w:t>
      </w:r>
      <w:proofErr w:type="spellEnd"/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: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proofErr w:type="gramStart"/>
      <w:r>
        <w:rPr>
          <w:rFonts w:ascii="Open Sans" w:hAnsi="Open Sans" w:cs="Open Sans"/>
          <w:b/>
          <w:bCs/>
          <w:color w:val="000000"/>
          <w:sz w:val="21"/>
          <w:szCs w:val="21"/>
        </w:rPr>
        <w:t>the</w:t>
      </w:r>
      <w:proofErr w:type="gramEnd"/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Mediterranean 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Europe 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Assad 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ISIL</w:t>
      </w:r>
    </w:p>
    <w:p w:rsidR="00F146C5" w:rsidRDefault="00F146C5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Syria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Jordan </w:t>
      </w:r>
    </w:p>
    <w:p w:rsidR="00F146C5" w:rsidRDefault="007523DC" w:rsidP="00052BEF">
      <w:pPr>
        <w:ind w:left="1416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Lebanon</w:t>
      </w:r>
    </w:p>
    <w:p w:rsidR="00F146C5" w:rsidRDefault="00F146C5">
      <w:pPr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:rsidR="007523DC" w:rsidRDefault="007523DC">
      <w:proofErr w:type="gramStart"/>
      <w:r w:rsidRPr="007523DC">
        <w:t>Transcript :</w:t>
      </w:r>
      <w:proofErr w:type="gramEnd"/>
      <w:r w:rsidRPr="007523DC">
        <w:t xml:space="preserve"> </w:t>
      </w:r>
    </w:p>
    <w:p w:rsidR="007523DC" w:rsidRPr="007523DC" w:rsidRDefault="007523DC"/>
    <w:p w:rsidR="007523DC" w:rsidRPr="007523DC" w:rsidRDefault="007523DC">
      <w:r>
        <w:rPr>
          <w:rFonts w:ascii="Open Sans" w:hAnsi="Open Sans" w:cs="Open Sans"/>
          <w:b/>
          <w:bCs/>
          <w:color w:val="000000"/>
          <w:sz w:val="21"/>
          <w:szCs w:val="21"/>
        </w:rPr>
        <w:t>In the first 6 months of this year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more than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220,000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people were detected crossing the Mediterranean to Europe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 A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nd in July alone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over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100,000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people made this journey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three times h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igher than the number last year. T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hese people came from different countries under different circumstances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b/>
          <w:bCs/>
          <w:color w:val="000000"/>
          <w:sz w:val="21"/>
          <w:szCs w:val="21"/>
        </w:rPr>
        <w:t>we</w:t>
      </w:r>
      <w:proofErr w:type="gramEnd"/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know that many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are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Syrians fleeing the conflict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that has raged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across the country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and has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killed over 220,000 people and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that has forced m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ore than 11 million people to flee their own homes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 They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now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face t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wo enemies at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home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: Assad and ISIL.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Britain has a moral responsibility to help refugees as we have done throughout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our history. We’re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already providing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sanctuary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and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we’ll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continue to do so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 A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s the second largest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bilateral donor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to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the crisis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we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have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provided over 900 million pounds in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aid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to help those affected in Syria and the region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 We funded she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lter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food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water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vital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medical supplies for millions of desperate refugees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fleeing the conflict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and helping them to survive in the countries around Syria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like Jordan and Lebanon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N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o European country has done more than Britain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in this regard. W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ere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it not for that massive ai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d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the numbers making the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perilous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journey to Europe today would be even higher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Now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we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’ve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already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accept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ed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around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5,000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Syrians and we've introduced a specific resettlement scheme alongside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those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we already have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,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to help th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ose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Syrian refugees particular at risk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.</w:t>
      </w:r>
    </w:p>
    <w:sectPr w:rsidR="007523DC" w:rsidRPr="007523DC" w:rsidSect="007A538F">
      <w:pgSz w:w="11900" w:h="16840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6BE2"/>
    <w:multiLevelType w:val="hybridMultilevel"/>
    <w:tmpl w:val="AFBE7EBA"/>
    <w:lvl w:ilvl="0" w:tplc="8A60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022D8"/>
    <w:multiLevelType w:val="hybridMultilevel"/>
    <w:tmpl w:val="5284F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D7FCB"/>
    <w:multiLevelType w:val="hybridMultilevel"/>
    <w:tmpl w:val="D6A05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24C2E"/>
    <w:multiLevelType w:val="hybridMultilevel"/>
    <w:tmpl w:val="F9DC1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64"/>
    <w:rsid w:val="00052BEF"/>
    <w:rsid w:val="000548A6"/>
    <w:rsid w:val="0006161A"/>
    <w:rsid w:val="000E62B6"/>
    <w:rsid w:val="0012532A"/>
    <w:rsid w:val="001D291E"/>
    <w:rsid w:val="00201C96"/>
    <w:rsid w:val="002126D3"/>
    <w:rsid w:val="002E6B52"/>
    <w:rsid w:val="00315225"/>
    <w:rsid w:val="003E20B7"/>
    <w:rsid w:val="003F185A"/>
    <w:rsid w:val="00492864"/>
    <w:rsid w:val="004B6EBE"/>
    <w:rsid w:val="00510ECE"/>
    <w:rsid w:val="00531E9A"/>
    <w:rsid w:val="00554BA2"/>
    <w:rsid w:val="00562F28"/>
    <w:rsid w:val="00563293"/>
    <w:rsid w:val="00575220"/>
    <w:rsid w:val="00596326"/>
    <w:rsid w:val="0069067F"/>
    <w:rsid w:val="0069697A"/>
    <w:rsid w:val="007523DC"/>
    <w:rsid w:val="007A538F"/>
    <w:rsid w:val="008221C1"/>
    <w:rsid w:val="008D7A89"/>
    <w:rsid w:val="00A058E8"/>
    <w:rsid w:val="00A77811"/>
    <w:rsid w:val="00AB33AF"/>
    <w:rsid w:val="00AE2F07"/>
    <w:rsid w:val="00BA3DAA"/>
    <w:rsid w:val="00C166D0"/>
    <w:rsid w:val="00C94CF6"/>
    <w:rsid w:val="00CB7E22"/>
    <w:rsid w:val="00CD0664"/>
    <w:rsid w:val="00CD27B4"/>
    <w:rsid w:val="00DE7D39"/>
    <w:rsid w:val="00E00E63"/>
    <w:rsid w:val="00F146C5"/>
    <w:rsid w:val="00FE7313"/>
    <w:rsid w:val="00FF03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D9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052B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8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2B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52B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BE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4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4BA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D9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052B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8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52B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52B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BE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4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4BA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mail.co.uk/news/article-3222108/Britain-accept-thousands-Syrians-living-refugee-camps-NOT-open-door-migrants-reached-Euro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</cp:lastModifiedBy>
  <cp:revision>2</cp:revision>
  <dcterms:created xsi:type="dcterms:W3CDTF">2016-02-18T12:09:00Z</dcterms:created>
  <dcterms:modified xsi:type="dcterms:W3CDTF">2016-02-18T12:09:00Z</dcterms:modified>
</cp:coreProperties>
</file>