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19E3E" w14:textId="77777777" w:rsidR="00501FF4" w:rsidRPr="00DE1697" w:rsidRDefault="00501FF4" w:rsidP="00501FF4">
      <w:pPr>
        <w:widowControl w:val="0"/>
        <w:autoSpaceDE w:val="0"/>
        <w:ind w:left="142"/>
        <w:jc w:val="center"/>
        <w:rPr>
          <w:b/>
          <w:sz w:val="28"/>
          <w:szCs w:val="28"/>
        </w:rPr>
      </w:pPr>
      <w:r>
        <w:rPr>
          <w:b/>
          <w:sz w:val="28"/>
          <w:szCs w:val="28"/>
        </w:rPr>
        <w:t>Baccalauréat session 2017</w:t>
      </w:r>
    </w:p>
    <w:p w14:paraId="2B107F50" w14:textId="77777777" w:rsidR="00501FF4" w:rsidRPr="00DE1697" w:rsidRDefault="00501FF4" w:rsidP="00501FF4">
      <w:pPr>
        <w:widowControl w:val="0"/>
        <w:autoSpaceDE w:val="0"/>
        <w:ind w:left="142"/>
        <w:jc w:val="center"/>
        <w:rPr>
          <w:b/>
          <w:sz w:val="28"/>
          <w:szCs w:val="28"/>
        </w:rPr>
      </w:pPr>
      <w:r>
        <w:rPr>
          <w:b/>
          <w:sz w:val="28"/>
          <w:szCs w:val="28"/>
        </w:rPr>
        <w:t>Compréhension de l’oral</w:t>
      </w:r>
      <w:r w:rsidRPr="00DE1697">
        <w:rPr>
          <w:b/>
          <w:sz w:val="28"/>
          <w:szCs w:val="28"/>
        </w:rPr>
        <w:t xml:space="preserve"> </w:t>
      </w:r>
    </w:p>
    <w:p w14:paraId="32F0E689" w14:textId="77777777" w:rsidR="00501FF4" w:rsidRPr="00DE1697" w:rsidRDefault="00501FF4" w:rsidP="00501FF4">
      <w:pPr>
        <w:widowControl w:val="0"/>
        <w:autoSpaceDE w:val="0"/>
        <w:ind w:left="142"/>
        <w:jc w:val="center"/>
        <w:rPr>
          <w:b/>
          <w:sz w:val="28"/>
          <w:szCs w:val="28"/>
        </w:rPr>
      </w:pPr>
      <w:r w:rsidRPr="00DE1697">
        <w:rPr>
          <w:b/>
          <w:sz w:val="28"/>
          <w:szCs w:val="28"/>
        </w:rPr>
        <w:t>Série S LV1</w:t>
      </w:r>
    </w:p>
    <w:p w14:paraId="5EC8D605" w14:textId="77777777" w:rsidR="00501FF4" w:rsidRDefault="00501FF4" w:rsidP="00501FF4"/>
    <w:p w14:paraId="59C76182" w14:textId="77777777" w:rsidR="00501FF4" w:rsidRDefault="00501FF4" w:rsidP="00501FF4">
      <w:pPr>
        <w:widowControl w:val="0"/>
        <w:autoSpaceDE w:val="0"/>
        <w:ind w:left="142"/>
        <w:jc w:val="center"/>
        <w:rPr>
          <w:b/>
          <w:color w:val="067CA4"/>
          <w:sz w:val="28"/>
          <w:szCs w:val="28"/>
          <w:lang w:val="en-US"/>
        </w:rPr>
      </w:pPr>
      <w:r>
        <w:rPr>
          <w:b/>
          <w:noProof/>
          <w:sz w:val="22"/>
          <w:szCs w:val="22"/>
        </w:rPr>
        <mc:AlternateContent>
          <mc:Choice Requires="wps">
            <w:drawing>
              <wp:anchor distT="0" distB="0" distL="114300" distR="114300" simplePos="0" relativeHeight="251659264" behindDoc="0" locked="0" layoutInCell="1" allowOverlap="1" wp14:anchorId="78409E7F" wp14:editId="620D6113">
                <wp:simplePos x="0" y="0"/>
                <wp:positionH relativeFrom="column">
                  <wp:posOffset>5175885</wp:posOffset>
                </wp:positionH>
                <wp:positionV relativeFrom="paragraph">
                  <wp:posOffset>146685</wp:posOffset>
                </wp:positionV>
                <wp:extent cx="1020445" cy="287655"/>
                <wp:effectExtent l="0" t="0" r="127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5F348" w14:textId="77777777" w:rsidR="00501FF4" w:rsidRPr="00E544CA" w:rsidRDefault="00501FF4" w:rsidP="00501FF4">
                            <w:pPr>
                              <w:rPr>
                                <w:rFonts w:cs="Arial"/>
                                <w:sz w:val="20"/>
                                <w:szCs w:val="20"/>
                              </w:rPr>
                            </w:pPr>
                            <w:r>
                              <w:rPr>
                                <w:rFonts w:cs="Arial"/>
                                <w:sz w:val="20"/>
                                <w:szCs w:val="20"/>
                              </w:rPr>
                              <w:t>Durée : 1’35</w:t>
                            </w:r>
                            <w:r w:rsidRPr="00E544CA">
                              <w:rPr>
                                <w:rFonts w:cs="Arial"/>
                                <w:sz w:val="20"/>
                                <w:szCs w:val="20"/>
                              </w:rPr>
                              <w:t>’’</w:t>
                            </w:r>
                          </w:p>
                        </w:txbxContent>
                      </wps:txbx>
                      <wps:bodyPr rot="0" vert="horz" wrap="square" lIns="18000" tIns="45720" rIns="18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09E7F" id="_x0000_t202" coordsize="21600,21600" o:spt="202" path="m0,0l0,21600,21600,21600,21600,0xe">
                <v:stroke joinstyle="miter"/>
                <v:path gradientshapeok="t" o:connecttype="rect"/>
              </v:shapetype>
              <v:shape id="Zone de texte 4" o:spid="_x0000_s1026" type="#_x0000_t202" style="position:absolute;left:0;text-align:left;margin-left:407.55pt;margin-top:11.55pt;width:80.3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" filled="f" stroked="f">
                <v:textbox inset=".5mm,,.5mm">
                  <w:txbxContent>
                    <w:p w14:paraId="0415F348" w14:textId="77777777" w:rsidR="00501FF4" w:rsidRPr="00E544CA" w:rsidRDefault="00501FF4" w:rsidP="00501FF4">
                      <w:pPr>
                        <w:rPr>
                          <w:rFonts w:cs="Arial"/>
                          <w:sz w:val="20"/>
                          <w:szCs w:val="20"/>
                        </w:rPr>
                      </w:pPr>
                      <w:r>
                        <w:rPr>
                          <w:rFonts w:cs="Arial"/>
                          <w:sz w:val="20"/>
                          <w:szCs w:val="20"/>
                        </w:rPr>
                        <w:t>Durée : 1’35</w:t>
                      </w:r>
                      <w:r w:rsidRPr="00E544CA">
                        <w:rPr>
                          <w:rFonts w:cs="Arial"/>
                          <w:sz w:val="20"/>
                          <w:szCs w:val="20"/>
                        </w:rPr>
                        <w:t>’’</w:t>
                      </w:r>
                    </w:p>
                  </w:txbxContent>
                </v:textbox>
              </v:shape>
            </w:pict>
          </mc:Fallback>
        </mc:AlternateContent>
      </w:r>
      <w:r>
        <w:rPr>
          <w:b/>
          <w:color w:val="067CA4"/>
          <w:sz w:val="28"/>
          <w:szCs w:val="28"/>
          <w:lang w:val="en-US"/>
        </w:rPr>
        <w:t>A new law for gender equality ?</w:t>
      </w:r>
    </w:p>
    <w:p w14:paraId="50F498BC" w14:textId="77777777" w:rsidR="00501FF4" w:rsidRDefault="00501FF4" w:rsidP="00501FF4"/>
    <w:p w14:paraId="52943C56" w14:textId="77777777" w:rsidR="00501FF4" w:rsidRDefault="00501FF4" w:rsidP="00501FF4"/>
    <w:p w14:paraId="1BDB997E" w14:textId="77777777" w:rsidR="00501FF4" w:rsidRPr="00DE1697" w:rsidRDefault="00501FF4" w:rsidP="00501FF4">
      <w:pPr>
        <w:jc w:val="both"/>
        <w:rPr>
          <w:b/>
        </w:rPr>
      </w:pPr>
      <w:r w:rsidRPr="00DE1697">
        <w:rPr>
          <w:b/>
          <w:color w:val="E8509D"/>
          <w:lang w:val="en-US"/>
        </w:rPr>
        <w:sym w:font="Wingdings 2" w:char="F0ED"/>
      </w:r>
      <w:r w:rsidRPr="00DE1697">
        <w:rPr>
          <w:b/>
        </w:rPr>
        <w:t xml:space="preserve"> Liens avec les notions du programme : </w:t>
      </w:r>
      <w:r>
        <w:t>idea of progress</w:t>
      </w:r>
    </w:p>
    <w:p w14:paraId="529C3FFA" w14:textId="77777777" w:rsidR="00501FF4" w:rsidRPr="00DE1697" w:rsidRDefault="00501FF4" w:rsidP="00501FF4">
      <w:pPr>
        <w:jc w:val="both"/>
      </w:pPr>
    </w:p>
    <w:p w14:paraId="4F4F456B" w14:textId="77777777" w:rsidR="00501FF4" w:rsidRDefault="00501FF4" w:rsidP="00501FF4">
      <w:pPr>
        <w:jc w:val="both"/>
      </w:pPr>
      <w:r w:rsidRPr="00DE1697">
        <w:rPr>
          <w:b/>
          <w:color w:val="E8509D"/>
          <w:lang w:val="en-US"/>
        </w:rPr>
        <w:sym w:font="Wingdings 2" w:char="F0ED"/>
      </w:r>
      <w:r w:rsidRPr="00DE1697">
        <w:rPr>
          <w:b/>
          <w:color w:val="E8509D"/>
        </w:rPr>
        <w:t xml:space="preserve"> </w:t>
      </w:r>
      <w:r w:rsidRPr="00DE1697">
        <w:rPr>
          <w:b/>
        </w:rPr>
        <w:t xml:space="preserve">Nature du document : </w:t>
      </w:r>
      <w:r>
        <w:t>Extrait d’un reportage radio NPR</w:t>
      </w:r>
    </w:p>
    <w:p w14:paraId="2F26ED6B" w14:textId="77777777" w:rsidR="00501FF4" w:rsidRDefault="00501FF4" w:rsidP="00501FF4">
      <w:pPr>
        <w:jc w:val="both"/>
      </w:pPr>
    </w:p>
    <w:p w14:paraId="036EE9A8" w14:textId="77777777" w:rsidR="00501FF4" w:rsidRDefault="00501FF4" w:rsidP="00501FF4">
      <w:pPr>
        <w:jc w:val="both"/>
      </w:pPr>
    </w:p>
    <w:p w14:paraId="510685F5" w14:textId="77777777" w:rsidR="00501FF4" w:rsidRDefault="00501FF4" w:rsidP="00501FF4">
      <w:pPr>
        <w:jc w:val="both"/>
      </w:pPr>
      <w:r>
        <w:t xml:space="preserve">source : </w:t>
      </w:r>
      <w:hyperlink r:id="rId5" w:history="1">
        <w:r w:rsidRPr="006F48A6">
          <w:rPr>
            <w:rStyle w:val="Lienhypertexte"/>
          </w:rPr>
          <w:t>http://www.npr.org/2016/08/04/488708567/massachusetts-joins-state-led-efforts-on-equal-pay-for-women</w:t>
        </w:r>
      </w:hyperlink>
    </w:p>
    <w:p w14:paraId="024DDD20" w14:textId="77777777" w:rsidR="00501FF4" w:rsidRDefault="00501FF4" w:rsidP="00501FF4">
      <w:pPr>
        <w:jc w:val="both"/>
      </w:pPr>
    </w:p>
    <w:p w14:paraId="0028D54B" w14:textId="77777777" w:rsidR="00501FF4" w:rsidRPr="00DE1697" w:rsidRDefault="00501FF4" w:rsidP="00501FF4">
      <w:pPr>
        <w:jc w:val="both"/>
        <w:rPr>
          <w:b/>
        </w:rPr>
      </w:pPr>
    </w:p>
    <w:p w14:paraId="398B485C" w14:textId="77777777" w:rsidR="00501FF4" w:rsidRPr="00DE1697" w:rsidRDefault="00501FF4" w:rsidP="00501FF4">
      <w:pPr>
        <w:jc w:val="both"/>
        <w:rPr>
          <w:b/>
          <w:color w:val="E8509D"/>
          <w:sz w:val="28"/>
          <w:szCs w:val="28"/>
          <w:lang w:val="en-US"/>
        </w:rPr>
      </w:pPr>
      <w:r w:rsidRPr="00DE1697">
        <w:rPr>
          <w:b/>
          <w:color w:val="E8509D"/>
          <w:sz w:val="28"/>
          <w:szCs w:val="28"/>
          <w:lang w:val="en-US"/>
        </w:rPr>
        <w:t>Script</w:t>
      </w:r>
    </w:p>
    <w:p w14:paraId="2F63BF0B" w14:textId="77777777" w:rsidR="00501FF4" w:rsidRPr="008C7EF4" w:rsidRDefault="00501FF4" w:rsidP="00501FF4">
      <w:pPr>
        <w:pStyle w:val="Normalweb"/>
        <w:rPr>
          <w:b/>
        </w:rPr>
      </w:pPr>
      <w:r w:rsidRPr="008C7EF4">
        <w:rPr>
          <w:b/>
        </w:rPr>
        <w:t xml:space="preserve">AUDIE CORNISH, HOST: </w:t>
      </w:r>
      <w:r>
        <w:rPr>
          <w:b/>
        </w:rPr>
        <w:br/>
      </w:r>
      <w:r>
        <w:t>Massachusetts has made it illegal for employers to ask prospective hires how much money they made at their last jobs. That provision goes into effect in 2018. It's part of a sweeping new law on equal pay that the state's Republican governor signed this week. From member station WBUR in Boston, Fred Thys reports.</w:t>
      </w:r>
    </w:p>
    <w:p w14:paraId="20A4D979" w14:textId="77777777" w:rsidR="00501FF4" w:rsidRDefault="00501FF4" w:rsidP="00501FF4">
      <w:pPr>
        <w:pStyle w:val="Normalweb"/>
      </w:pPr>
      <w:r w:rsidRPr="008C7EF4">
        <w:rPr>
          <w:b/>
        </w:rPr>
        <w:t>FRED THYS, BYLINE:</w:t>
      </w:r>
      <w:r>
        <w:t xml:space="preserve"> </w:t>
      </w:r>
      <w:r>
        <w:br/>
        <w:t>Massachusetts is the first state to forbid employers from asking job applicants how much they made at their previous jobs. The goal is to prevent women from being stuck in a cycle of low salaries. Victoria Budson directs the Women and Public Policy Program at Harvard University's Kennedy School of Government and pushed for passage of the law.</w:t>
      </w:r>
    </w:p>
    <w:p w14:paraId="6F37AD94" w14:textId="77777777" w:rsidR="00501FF4" w:rsidRDefault="00501FF4" w:rsidP="00501FF4">
      <w:pPr>
        <w:pStyle w:val="Normalweb"/>
      </w:pPr>
      <w:r w:rsidRPr="008C7EF4">
        <w:rPr>
          <w:b/>
        </w:rPr>
        <w:t>VICTORIA BUDSON:</w:t>
      </w:r>
      <w:r>
        <w:t xml:space="preserve"> </w:t>
      </w:r>
      <w:r>
        <w:br/>
        <w:t>This is such an important piece of the pay equity bill because what happens to people over time is if in that first negotiation or those first few jobs out of high school or college you are underpaid, then you really get a snowball effect where if each subsequent salary is really benchmarked to that, then what can happen is that type of usually implicit and occasionally explicit discrimination really then follows that person throughout their career.</w:t>
      </w:r>
    </w:p>
    <w:p w14:paraId="460AF090" w14:textId="77777777" w:rsidR="00501FF4" w:rsidRDefault="00501FF4" w:rsidP="00501FF4">
      <w:pPr>
        <w:pStyle w:val="Normalweb"/>
      </w:pPr>
      <w:r w:rsidRPr="008C7EF4">
        <w:rPr>
          <w:b/>
        </w:rPr>
        <w:t>THYS:</w:t>
      </w:r>
      <w:r>
        <w:t xml:space="preserve"> </w:t>
      </w:r>
      <w:r>
        <w:br/>
        <w:t>The law's chief sponsor, Democratic state Senator Pat Jehlen, adds that divulging a low salary can even prevent an applicant from getting a job.</w:t>
      </w:r>
    </w:p>
    <w:p w14:paraId="2CBBB06F" w14:textId="77777777" w:rsidR="00501FF4" w:rsidRDefault="00501FF4" w:rsidP="00501FF4">
      <w:pPr>
        <w:pStyle w:val="Normalweb"/>
      </w:pPr>
      <w:r w:rsidRPr="008C7EF4">
        <w:rPr>
          <w:b/>
        </w:rPr>
        <w:t>PAT JEHLEN:</w:t>
      </w:r>
      <w:r>
        <w:t xml:space="preserve"> </w:t>
      </w:r>
      <w:r>
        <w:br/>
        <w:t>We heard about a woman who had had a phone interview for a job, did very well and didn't hang up at the end of the conference call and heard the other people say she looked like an ideal candidate until we heard what she's making now. She must not be as good as she looks. And they didn't hire her.</w:t>
      </w:r>
    </w:p>
    <w:p w14:paraId="376C7049" w14:textId="77777777" w:rsidR="00501FF4" w:rsidRDefault="00501FF4" w:rsidP="00501FF4"/>
    <w:p w14:paraId="561C71D1" w14:textId="77777777" w:rsidR="00501FF4" w:rsidRDefault="00501FF4" w:rsidP="00501FF4">
      <w:pPr>
        <w:rPr>
          <w:b/>
          <w:color w:val="E8509D"/>
          <w:sz w:val="28"/>
          <w:szCs w:val="28"/>
          <w:lang w:val="en-US"/>
        </w:rPr>
      </w:pPr>
    </w:p>
    <w:p w14:paraId="1C473BD7" w14:textId="77777777" w:rsidR="00501FF4" w:rsidRDefault="00501FF4" w:rsidP="00501FF4">
      <w:r w:rsidRPr="00827772">
        <w:rPr>
          <w:b/>
          <w:color w:val="E8509D"/>
          <w:sz w:val="28"/>
          <w:szCs w:val="28"/>
          <w:lang w:val="en-US"/>
        </w:rPr>
        <w:lastRenderedPageBreak/>
        <w:t>Grille de correction </w:t>
      </w:r>
      <w:r>
        <w:rPr>
          <w:b/>
          <w:color w:val="E8509D"/>
          <w:sz w:val="28"/>
          <w:szCs w:val="28"/>
          <w:lang w:val="en-US"/>
        </w:rPr>
        <w:t xml:space="preserve">: </w:t>
      </w:r>
      <w:r w:rsidRPr="00827772">
        <w:rPr>
          <w:b/>
          <w:color w:val="E8509D"/>
          <w:sz w:val="28"/>
          <w:szCs w:val="28"/>
          <w:lang w:val="en-US"/>
        </w:rPr>
        <w:t xml:space="preserve">• </w:t>
      </w:r>
      <w:r w:rsidRPr="00827772">
        <w:rPr>
          <w:b/>
          <w:color w:val="067CA4"/>
          <w:sz w:val="28"/>
          <w:szCs w:val="28"/>
          <w:lang w:val="en-US"/>
        </w:rPr>
        <w:t>“</w:t>
      </w:r>
      <w:r>
        <w:rPr>
          <w:b/>
          <w:color w:val="067CA4"/>
          <w:sz w:val="28"/>
          <w:szCs w:val="28"/>
          <w:lang w:val="en-US"/>
        </w:rPr>
        <w:t>A new law for gender equality</w:t>
      </w:r>
      <w:r w:rsidRPr="00827772">
        <w:rPr>
          <w:b/>
          <w:color w:val="067CA4"/>
          <w:sz w:val="28"/>
          <w:szCs w:val="28"/>
          <w:lang w:val="en-US"/>
        </w:rPr>
        <w:t>?</w:t>
      </w:r>
    </w:p>
    <w:tbl>
      <w:tblPr>
        <w:tblpPr w:leftFromText="141" w:rightFromText="141" w:vertAnchor="page" w:horzAnchor="margin" w:tblpY="1306"/>
        <w:tblW w:w="9691" w:type="dxa"/>
        <w:tblBorders>
          <w:top w:val="single" w:sz="8" w:space="0" w:color="E8509D"/>
          <w:left w:val="single" w:sz="8" w:space="0" w:color="E8509D"/>
          <w:bottom w:val="single" w:sz="8" w:space="0" w:color="E8509D"/>
          <w:right w:val="single" w:sz="8" w:space="0" w:color="E8509D"/>
          <w:insideH w:val="single" w:sz="4" w:space="0" w:color="067CA4"/>
        </w:tblBorders>
        <w:tblLayout w:type="fixed"/>
        <w:tblLook w:val="04A0" w:firstRow="1" w:lastRow="0" w:firstColumn="1" w:lastColumn="0" w:noHBand="0" w:noVBand="1"/>
      </w:tblPr>
      <w:tblGrid>
        <w:gridCol w:w="1134"/>
        <w:gridCol w:w="7649"/>
        <w:gridCol w:w="908"/>
      </w:tblGrid>
      <w:tr w:rsidR="00501FF4" w:rsidRPr="00DE1697" w14:paraId="2723DD47" w14:textId="77777777" w:rsidTr="00265679">
        <w:trPr>
          <w:trHeight w:val="57"/>
        </w:trPr>
        <w:tc>
          <w:tcPr>
            <w:tcW w:w="1134" w:type="dxa"/>
            <w:tcBorders>
              <w:top w:val="single" w:sz="8" w:space="0" w:color="E8509D"/>
              <w:bottom w:val="single" w:sz="4" w:space="0" w:color="067CA4"/>
              <w:right w:val="single" w:sz="4" w:space="0" w:color="E8509D"/>
            </w:tcBorders>
            <w:shd w:val="clear" w:color="auto" w:fill="DAEEF3"/>
            <w:vAlign w:val="center"/>
          </w:tcPr>
          <w:p w14:paraId="73CF6392" w14:textId="77777777" w:rsidR="00501FF4" w:rsidRPr="00DE1697" w:rsidRDefault="00501FF4" w:rsidP="00265679">
            <w:pPr>
              <w:rPr>
                <w:b/>
                <w:color w:val="000000"/>
              </w:rPr>
            </w:pPr>
            <w:r w:rsidRPr="00DE1697">
              <w:rPr>
                <w:b/>
                <w:color w:val="000000"/>
              </w:rPr>
              <w:t>Niveau</w:t>
            </w:r>
          </w:p>
          <w:p w14:paraId="762BC847" w14:textId="77777777" w:rsidR="00501FF4" w:rsidRPr="00DE1697" w:rsidRDefault="00501FF4" w:rsidP="00265679">
            <w:pPr>
              <w:jc w:val="center"/>
              <w:rPr>
                <w:b/>
                <w:color w:val="000000"/>
              </w:rPr>
            </w:pPr>
            <w:r w:rsidRPr="00DE1697">
              <w:rPr>
                <w:b/>
                <w:color w:val="000000"/>
              </w:rPr>
              <w:t>CECRL</w:t>
            </w:r>
          </w:p>
        </w:tc>
        <w:tc>
          <w:tcPr>
            <w:tcW w:w="7649" w:type="dxa"/>
            <w:tcBorders>
              <w:left w:val="single" w:sz="4" w:space="0" w:color="E8509D"/>
              <w:right w:val="single" w:sz="8" w:space="0" w:color="E8509D"/>
            </w:tcBorders>
            <w:vAlign w:val="bottom"/>
          </w:tcPr>
          <w:p w14:paraId="08AF4FE5" w14:textId="77777777" w:rsidR="00501FF4" w:rsidRPr="00DE1697" w:rsidRDefault="00501FF4" w:rsidP="00265679">
            <w:pPr>
              <w:jc w:val="both"/>
              <w:rPr>
                <w:b/>
                <w:color w:val="000000"/>
              </w:rPr>
            </w:pPr>
          </w:p>
        </w:tc>
        <w:tc>
          <w:tcPr>
            <w:tcW w:w="908" w:type="dxa"/>
            <w:tcBorders>
              <w:top w:val="single" w:sz="8" w:space="0" w:color="E8509D"/>
              <w:left w:val="single" w:sz="8" w:space="0" w:color="E8509D"/>
              <w:bottom w:val="single" w:sz="4" w:space="0" w:color="067CA4"/>
            </w:tcBorders>
            <w:shd w:val="clear" w:color="auto" w:fill="E5DFEC"/>
            <w:vAlign w:val="center"/>
          </w:tcPr>
          <w:p w14:paraId="4898C0A9" w14:textId="77777777" w:rsidR="00501FF4" w:rsidRPr="00DE1697" w:rsidRDefault="00501FF4" w:rsidP="00265679">
            <w:pPr>
              <w:pBdr>
                <w:left w:val="single" w:sz="8" w:space="4" w:color="E8509D"/>
              </w:pBdr>
              <w:ind w:left="-64"/>
              <w:jc w:val="center"/>
              <w:rPr>
                <w:i/>
                <w:color w:val="000000"/>
              </w:rPr>
            </w:pPr>
            <w:r w:rsidRPr="00DE1697">
              <w:rPr>
                <w:b/>
                <w:color w:val="000000"/>
              </w:rPr>
              <w:t>LV1</w:t>
            </w:r>
            <w:r w:rsidRPr="00DE1697">
              <w:rPr>
                <w:color w:val="000000"/>
              </w:rPr>
              <w:t xml:space="preserve">   </w:t>
            </w:r>
          </w:p>
        </w:tc>
      </w:tr>
      <w:tr w:rsidR="00501FF4" w:rsidRPr="00DE1697" w14:paraId="6AC8EF16" w14:textId="77777777" w:rsidTr="00265679">
        <w:trPr>
          <w:trHeight w:val="531"/>
        </w:trPr>
        <w:tc>
          <w:tcPr>
            <w:tcW w:w="1134" w:type="dxa"/>
            <w:tcBorders>
              <w:top w:val="single" w:sz="4" w:space="0" w:color="067CA4"/>
              <w:bottom w:val="single" w:sz="4" w:space="0" w:color="067CA4"/>
              <w:right w:val="single" w:sz="4" w:space="0" w:color="E8509D"/>
            </w:tcBorders>
            <w:shd w:val="clear" w:color="auto" w:fill="DAEEF3"/>
            <w:vAlign w:val="center"/>
          </w:tcPr>
          <w:p w14:paraId="25ECA404" w14:textId="77777777" w:rsidR="00501FF4" w:rsidRPr="00DE1697" w:rsidRDefault="00501FF4" w:rsidP="00265679">
            <w:pPr>
              <w:jc w:val="center"/>
              <w:rPr>
                <w:b/>
                <w:color w:val="000000"/>
              </w:rPr>
            </w:pPr>
            <w:r w:rsidRPr="00DE1697">
              <w:rPr>
                <w:b/>
              </w:rPr>
              <w:t>Hors cadre</w:t>
            </w:r>
          </w:p>
        </w:tc>
        <w:tc>
          <w:tcPr>
            <w:tcW w:w="7649" w:type="dxa"/>
            <w:tcBorders>
              <w:left w:val="single" w:sz="4" w:space="0" w:color="E8509D"/>
              <w:right w:val="single" w:sz="8" w:space="0" w:color="E8509D"/>
            </w:tcBorders>
            <w:vAlign w:val="center"/>
          </w:tcPr>
          <w:p w14:paraId="025D0247" w14:textId="77777777" w:rsidR="00501FF4" w:rsidRPr="00F665C5" w:rsidRDefault="00501FF4" w:rsidP="00265679">
            <w:pPr>
              <w:ind w:left="284" w:right="345"/>
              <w:jc w:val="both"/>
            </w:pPr>
            <w:r w:rsidRPr="00DE1697">
              <w:t>Le candidat n’a pas compris le document, il n’est pas parvenu à identifier le sujet / thème du document.</w:t>
            </w:r>
          </w:p>
        </w:tc>
        <w:tc>
          <w:tcPr>
            <w:tcW w:w="908" w:type="dxa"/>
            <w:tcBorders>
              <w:top w:val="single" w:sz="4" w:space="0" w:color="067CA4"/>
              <w:left w:val="single" w:sz="8" w:space="0" w:color="E8509D"/>
              <w:bottom w:val="single" w:sz="4" w:space="0" w:color="067CA4"/>
            </w:tcBorders>
            <w:shd w:val="clear" w:color="auto" w:fill="D9D9D9"/>
          </w:tcPr>
          <w:p w14:paraId="452D0295" w14:textId="77777777" w:rsidR="00501FF4" w:rsidRPr="00DE1697" w:rsidRDefault="00501FF4" w:rsidP="00265679">
            <w:pPr>
              <w:ind w:left="-64"/>
              <w:jc w:val="center"/>
              <w:rPr>
                <w:b/>
                <w:color w:val="000000"/>
              </w:rPr>
            </w:pPr>
            <w:r w:rsidRPr="0091767E">
              <w:rPr>
                <w:b/>
                <w:color w:val="000000"/>
              </w:rPr>
              <w:t>1</w:t>
            </w:r>
          </w:p>
        </w:tc>
      </w:tr>
      <w:tr w:rsidR="00501FF4" w:rsidRPr="00DE1697" w14:paraId="44B457DD" w14:textId="77777777" w:rsidTr="00265679">
        <w:trPr>
          <w:trHeight w:val="692"/>
        </w:trPr>
        <w:tc>
          <w:tcPr>
            <w:tcW w:w="1134" w:type="dxa"/>
            <w:tcBorders>
              <w:top w:val="single" w:sz="4" w:space="0" w:color="067CA4"/>
              <w:bottom w:val="single" w:sz="4" w:space="0" w:color="067CA4"/>
              <w:right w:val="single" w:sz="4" w:space="0" w:color="E8509D"/>
            </w:tcBorders>
            <w:shd w:val="clear" w:color="auto" w:fill="DAEEF3"/>
            <w:vAlign w:val="center"/>
          </w:tcPr>
          <w:p w14:paraId="3989117C" w14:textId="77777777" w:rsidR="00501FF4" w:rsidRPr="00DE1697" w:rsidRDefault="00501FF4" w:rsidP="00265679">
            <w:pPr>
              <w:jc w:val="center"/>
              <w:rPr>
                <w:b/>
              </w:rPr>
            </w:pPr>
            <w:r w:rsidRPr="00DE1697">
              <w:t>Éléments relevant du niveau</w:t>
            </w:r>
          </w:p>
          <w:p w14:paraId="5A708A80" w14:textId="77777777" w:rsidR="00501FF4" w:rsidRPr="00DE1697" w:rsidRDefault="00501FF4" w:rsidP="00265679">
            <w:pPr>
              <w:jc w:val="center"/>
              <w:rPr>
                <w:b/>
              </w:rPr>
            </w:pPr>
            <w:r w:rsidRPr="00DE1697">
              <w:rPr>
                <w:b/>
              </w:rPr>
              <w:t>A1</w:t>
            </w:r>
          </w:p>
        </w:tc>
        <w:tc>
          <w:tcPr>
            <w:tcW w:w="7649" w:type="dxa"/>
            <w:tcBorders>
              <w:left w:val="single" w:sz="4" w:space="0" w:color="E8509D"/>
              <w:right w:val="single" w:sz="8" w:space="0" w:color="E8509D"/>
            </w:tcBorders>
          </w:tcPr>
          <w:p w14:paraId="2A7E4324" w14:textId="77777777" w:rsidR="00501FF4" w:rsidRDefault="00501FF4" w:rsidP="00265679">
            <w:pPr>
              <w:ind w:left="284" w:right="345"/>
              <w:jc w:val="both"/>
              <w:rPr>
                <w:b/>
              </w:rPr>
            </w:pPr>
          </w:p>
          <w:p w14:paraId="48E29278" w14:textId="77777777" w:rsidR="00501FF4" w:rsidRPr="00DE1697" w:rsidRDefault="00501FF4" w:rsidP="00265679">
            <w:pPr>
              <w:ind w:left="284" w:right="345"/>
              <w:jc w:val="both"/>
              <w:rPr>
                <w:b/>
              </w:rPr>
            </w:pPr>
            <w:r w:rsidRPr="00DE1697">
              <w:rPr>
                <w:b/>
              </w:rPr>
              <w:t xml:space="preserve">Repérage des idées les plus simples : </w:t>
            </w:r>
            <w:r>
              <w:t>des gens parlent des inégalités salariales hommes femmes</w:t>
            </w:r>
            <w:r w:rsidRPr="00DE1697">
              <w:t xml:space="preserve"> </w:t>
            </w:r>
          </w:p>
        </w:tc>
        <w:tc>
          <w:tcPr>
            <w:tcW w:w="908" w:type="dxa"/>
            <w:tcBorders>
              <w:top w:val="single" w:sz="4" w:space="0" w:color="067CA4"/>
              <w:left w:val="single" w:sz="8" w:space="0" w:color="E8509D"/>
              <w:bottom w:val="single" w:sz="4" w:space="0" w:color="067CA4"/>
            </w:tcBorders>
            <w:shd w:val="clear" w:color="auto" w:fill="D9D9D9"/>
          </w:tcPr>
          <w:p w14:paraId="3719EFFE" w14:textId="77777777" w:rsidR="00501FF4" w:rsidRDefault="00501FF4" w:rsidP="00265679">
            <w:pPr>
              <w:ind w:left="-64"/>
              <w:jc w:val="center"/>
              <w:rPr>
                <w:b/>
                <w:color w:val="000000"/>
              </w:rPr>
            </w:pPr>
          </w:p>
          <w:p w14:paraId="7918BA69" w14:textId="77777777" w:rsidR="00501FF4" w:rsidRPr="00DE1697" w:rsidRDefault="00501FF4" w:rsidP="00265679">
            <w:pPr>
              <w:ind w:left="-64"/>
              <w:jc w:val="center"/>
              <w:rPr>
                <w:b/>
                <w:color w:val="000000"/>
              </w:rPr>
            </w:pPr>
            <w:r>
              <w:rPr>
                <w:b/>
                <w:color w:val="000000"/>
              </w:rPr>
              <w:t>3</w:t>
            </w:r>
          </w:p>
        </w:tc>
      </w:tr>
      <w:tr w:rsidR="00501FF4" w:rsidRPr="00DE1697" w14:paraId="0DE60207" w14:textId="77777777" w:rsidTr="00265679">
        <w:trPr>
          <w:trHeight w:val="57"/>
        </w:trPr>
        <w:tc>
          <w:tcPr>
            <w:tcW w:w="1134" w:type="dxa"/>
            <w:tcBorders>
              <w:top w:val="single" w:sz="4" w:space="0" w:color="067CA4"/>
              <w:bottom w:val="single" w:sz="4" w:space="0" w:color="067CA4"/>
              <w:right w:val="single" w:sz="4" w:space="0" w:color="E8509D"/>
            </w:tcBorders>
            <w:shd w:val="clear" w:color="auto" w:fill="DAEEF3"/>
            <w:vAlign w:val="center"/>
          </w:tcPr>
          <w:p w14:paraId="559B8DBA" w14:textId="77777777" w:rsidR="00501FF4" w:rsidRPr="00DE1697" w:rsidRDefault="00501FF4" w:rsidP="00265679">
            <w:pPr>
              <w:jc w:val="center"/>
              <w:rPr>
                <w:b/>
              </w:rPr>
            </w:pPr>
            <w:r w:rsidRPr="00DE1697">
              <w:t>Éléments relevant du niveau</w:t>
            </w:r>
            <w:r w:rsidRPr="00DE1697">
              <w:rPr>
                <w:b/>
              </w:rPr>
              <w:t xml:space="preserve"> </w:t>
            </w:r>
          </w:p>
          <w:p w14:paraId="4B990D9C" w14:textId="77777777" w:rsidR="00501FF4" w:rsidRPr="00DE1697" w:rsidRDefault="00501FF4" w:rsidP="00265679">
            <w:pPr>
              <w:jc w:val="center"/>
              <w:rPr>
                <w:color w:val="000000"/>
              </w:rPr>
            </w:pPr>
            <w:r w:rsidRPr="00DE1697">
              <w:rPr>
                <w:b/>
              </w:rPr>
              <w:t>A2</w:t>
            </w:r>
          </w:p>
        </w:tc>
        <w:tc>
          <w:tcPr>
            <w:tcW w:w="7649" w:type="dxa"/>
            <w:tcBorders>
              <w:left w:val="single" w:sz="4" w:space="0" w:color="E8509D"/>
              <w:right w:val="single" w:sz="8" w:space="0" w:color="E8509D"/>
            </w:tcBorders>
            <w:vAlign w:val="center"/>
          </w:tcPr>
          <w:p w14:paraId="49ABE8DF" w14:textId="77777777" w:rsidR="00501FF4" w:rsidRDefault="00501FF4" w:rsidP="00265679">
            <w:pPr>
              <w:pStyle w:val="Par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4 locuteurs :    ● 2 journalistes, un homme et une femme pour la radio</w:t>
            </w:r>
          </w:p>
          <w:p w14:paraId="63118CA0" w14:textId="77777777" w:rsidR="00501FF4" w:rsidRDefault="00501FF4" w:rsidP="00265679">
            <w:pPr>
              <w:pStyle w:val="Pardeliste"/>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une universitaire qui a participé au passage de cette loi (Victoria Budson) </w:t>
            </w:r>
          </w:p>
          <w:p w14:paraId="334CB942" w14:textId="77777777" w:rsidR="00501FF4" w:rsidRDefault="00501FF4" w:rsidP="00265679">
            <w:pPr>
              <w:pStyle w:val="Pardeliste"/>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Une sénatrice démocrate également en faveur de cette loi</w:t>
            </w:r>
          </w:p>
          <w:p w14:paraId="216BD85E" w14:textId="77777777" w:rsidR="00501FF4" w:rsidRPr="008C7EF4" w:rsidRDefault="00501FF4" w:rsidP="00265679">
            <w:pPr>
              <w:pStyle w:val="Pardeliste"/>
              <w:spacing w:after="0" w:line="240" w:lineRule="auto"/>
              <w:jc w:val="both"/>
              <w:rPr>
                <w:rFonts w:ascii="Times New Roman" w:hAnsi="Times New Roman" w:cs="Times New Roman"/>
                <w:sz w:val="24"/>
                <w:szCs w:val="24"/>
              </w:rPr>
            </w:pPr>
          </w:p>
          <w:p w14:paraId="41585B40" w14:textId="77777777" w:rsidR="00501FF4" w:rsidRPr="006B34A8" w:rsidRDefault="00501FF4" w:rsidP="00265679">
            <w:pPr>
              <w:pStyle w:val="Pardeliste"/>
              <w:numPr>
                <w:ilvl w:val="0"/>
                <w:numId w:val="1"/>
              </w:numPr>
            </w:pPr>
            <w:r w:rsidRPr="008C7EF4">
              <w:rPr>
                <w:rFonts w:ascii="Times New Roman" w:hAnsi="Times New Roman" w:cs="Times New Roman"/>
                <w:sz w:val="24"/>
                <w:szCs w:val="24"/>
              </w:rPr>
              <w:t>une loi a été passé dans le Massachussetts qui interdit aux employeurs de demander à leurs employés leur salaires précédents</w:t>
            </w:r>
          </w:p>
        </w:tc>
        <w:tc>
          <w:tcPr>
            <w:tcW w:w="908" w:type="dxa"/>
            <w:tcBorders>
              <w:top w:val="single" w:sz="4" w:space="0" w:color="067CA4"/>
              <w:left w:val="single" w:sz="8" w:space="0" w:color="E8509D"/>
              <w:bottom w:val="single" w:sz="4" w:space="0" w:color="067CA4"/>
            </w:tcBorders>
            <w:shd w:val="clear" w:color="auto" w:fill="D9D9D9"/>
          </w:tcPr>
          <w:p w14:paraId="75B17C90" w14:textId="77777777" w:rsidR="00501FF4" w:rsidRDefault="00501FF4" w:rsidP="00265679">
            <w:pPr>
              <w:ind w:left="-64"/>
              <w:rPr>
                <w:b/>
                <w:color w:val="000000"/>
              </w:rPr>
            </w:pPr>
          </w:p>
          <w:p w14:paraId="3504AA1B" w14:textId="77777777" w:rsidR="00501FF4" w:rsidRDefault="00501FF4" w:rsidP="00265679">
            <w:pPr>
              <w:ind w:left="-64"/>
              <w:rPr>
                <w:b/>
                <w:color w:val="000000"/>
              </w:rPr>
            </w:pPr>
          </w:p>
          <w:p w14:paraId="0EFEA926" w14:textId="77777777" w:rsidR="00501FF4" w:rsidRDefault="00501FF4" w:rsidP="00265679">
            <w:pPr>
              <w:ind w:left="-64"/>
              <w:rPr>
                <w:b/>
                <w:color w:val="000000"/>
              </w:rPr>
            </w:pPr>
            <w:r>
              <w:rPr>
                <w:b/>
                <w:color w:val="000000"/>
              </w:rPr>
              <w:t xml:space="preserve">    </w:t>
            </w:r>
          </w:p>
          <w:p w14:paraId="5AABDA64" w14:textId="77777777" w:rsidR="00501FF4" w:rsidRPr="00DE1697" w:rsidRDefault="00501FF4" w:rsidP="00265679">
            <w:pPr>
              <w:ind w:left="-64"/>
              <w:rPr>
                <w:b/>
                <w:color w:val="000000"/>
              </w:rPr>
            </w:pPr>
            <w:r>
              <w:rPr>
                <w:b/>
                <w:color w:val="000000"/>
              </w:rPr>
              <w:t xml:space="preserve">      5</w:t>
            </w:r>
          </w:p>
        </w:tc>
      </w:tr>
      <w:tr w:rsidR="00501FF4" w:rsidRPr="00DE1697" w14:paraId="3EC35948" w14:textId="77777777" w:rsidTr="00265679">
        <w:trPr>
          <w:trHeight w:val="57"/>
        </w:trPr>
        <w:tc>
          <w:tcPr>
            <w:tcW w:w="1134" w:type="dxa"/>
            <w:tcBorders>
              <w:top w:val="single" w:sz="4" w:space="0" w:color="067CA4"/>
              <w:bottom w:val="single" w:sz="4" w:space="0" w:color="067CA4"/>
              <w:right w:val="single" w:sz="4" w:space="0" w:color="E8509D"/>
            </w:tcBorders>
            <w:shd w:val="clear" w:color="auto" w:fill="DAEEF3"/>
            <w:vAlign w:val="center"/>
          </w:tcPr>
          <w:p w14:paraId="4BE875E6" w14:textId="77777777" w:rsidR="00501FF4" w:rsidRPr="00DE1697" w:rsidRDefault="00501FF4" w:rsidP="00265679">
            <w:pPr>
              <w:jc w:val="center"/>
              <w:rPr>
                <w:b/>
              </w:rPr>
            </w:pPr>
            <w:r w:rsidRPr="00DE1697">
              <w:t>Éléments relevant du niveau</w:t>
            </w:r>
            <w:r w:rsidRPr="00DE1697">
              <w:rPr>
                <w:b/>
              </w:rPr>
              <w:t xml:space="preserve"> </w:t>
            </w:r>
          </w:p>
          <w:p w14:paraId="2FFFCA9A" w14:textId="77777777" w:rsidR="00501FF4" w:rsidRPr="00DE1697" w:rsidRDefault="00501FF4" w:rsidP="00265679">
            <w:pPr>
              <w:jc w:val="center"/>
              <w:rPr>
                <w:color w:val="000000"/>
              </w:rPr>
            </w:pPr>
            <w:r w:rsidRPr="00DE1697">
              <w:rPr>
                <w:b/>
              </w:rPr>
              <w:t>B1</w:t>
            </w:r>
          </w:p>
        </w:tc>
        <w:tc>
          <w:tcPr>
            <w:tcW w:w="7649" w:type="dxa"/>
            <w:tcBorders>
              <w:left w:val="single" w:sz="4" w:space="0" w:color="E8509D"/>
              <w:right w:val="single" w:sz="8" w:space="0" w:color="E8509D"/>
            </w:tcBorders>
          </w:tcPr>
          <w:p w14:paraId="030C4BD1" w14:textId="77777777" w:rsidR="00501FF4" w:rsidRPr="00DE1697" w:rsidRDefault="00501FF4" w:rsidP="00265679">
            <w:pPr>
              <w:ind w:left="284" w:right="345"/>
              <w:jc w:val="both"/>
              <w:rPr>
                <w:b/>
              </w:rPr>
            </w:pPr>
          </w:p>
          <w:p w14:paraId="09C54A8D" w14:textId="77777777" w:rsidR="00501FF4" w:rsidRPr="00DE1697" w:rsidRDefault="00501FF4" w:rsidP="00265679">
            <w:pPr>
              <w:ind w:left="284" w:right="345"/>
              <w:jc w:val="both"/>
              <w:rPr>
                <w:b/>
              </w:rPr>
            </w:pPr>
            <w:r w:rsidRPr="00DE1697">
              <w:rPr>
                <w:b/>
              </w:rPr>
              <w:t xml:space="preserve">Repérage des idées principales : </w:t>
            </w:r>
          </w:p>
          <w:p w14:paraId="70C9AA7C" w14:textId="77777777" w:rsidR="00501FF4" w:rsidRDefault="00501FF4" w:rsidP="00265679">
            <w:pPr>
              <w:pStyle w:val="Par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une mesure a été adoptée dans le Massachussetts qui interdit aux employeurs de demander aux candidats à un poste le montant de leurs précédents salaires</w:t>
            </w:r>
          </w:p>
          <w:p w14:paraId="039E4EC7" w14:textId="77777777" w:rsidR="00501FF4" w:rsidRDefault="00501FF4" w:rsidP="00265679">
            <w:pPr>
              <w:pStyle w:val="Par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cette mesure prendra effet à partir de 2018</w:t>
            </w:r>
          </w:p>
          <w:p w14:paraId="6B40D6AC" w14:textId="77777777" w:rsidR="00501FF4" w:rsidRDefault="00501FF4" w:rsidP="00265679">
            <w:pPr>
              <w:pStyle w:val="Par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cette mesure fait partie d’une loi de grande envergure portant sur l’égalité salariale</w:t>
            </w:r>
          </w:p>
          <w:p w14:paraId="31786F09" w14:textId="77777777" w:rsidR="00501FF4" w:rsidRDefault="00501FF4" w:rsidP="00265679">
            <w:pPr>
              <w:pStyle w:val="Par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 Massachussetts est le 1</w:t>
            </w:r>
            <w:r w:rsidRPr="006B34A8">
              <w:rPr>
                <w:rFonts w:ascii="Times New Roman" w:hAnsi="Times New Roman" w:cs="Times New Roman"/>
                <w:sz w:val="24"/>
                <w:szCs w:val="24"/>
                <w:vertAlign w:val="superscript"/>
              </w:rPr>
              <w:t>er</w:t>
            </w:r>
            <w:r>
              <w:rPr>
                <w:rFonts w:ascii="Times New Roman" w:hAnsi="Times New Roman" w:cs="Times New Roman"/>
                <w:sz w:val="24"/>
                <w:szCs w:val="24"/>
              </w:rPr>
              <w:t xml:space="preserve"> Etat à adopter une telle loi</w:t>
            </w:r>
          </w:p>
          <w:p w14:paraId="74486B22" w14:textId="77777777" w:rsidR="00501FF4" w:rsidRDefault="00501FF4" w:rsidP="00265679">
            <w:pPr>
              <w:pStyle w:val="Pardeliste"/>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les employeurs prenant souvent comme « unité de mesure » le 1</w:t>
            </w:r>
            <w:r w:rsidRPr="006B34A8">
              <w:rPr>
                <w:rFonts w:ascii="Times New Roman" w:hAnsi="Times New Roman" w:cs="Times New Roman"/>
                <w:sz w:val="24"/>
                <w:szCs w:val="24"/>
                <w:vertAlign w:val="superscript"/>
              </w:rPr>
              <w:t>er</w:t>
            </w:r>
            <w:r>
              <w:rPr>
                <w:rFonts w:ascii="Times New Roman" w:hAnsi="Times New Roman" w:cs="Times New Roman"/>
                <w:sz w:val="24"/>
                <w:szCs w:val="24"/>
              </w:rPr>
              <w:t xml:space="preserve"> salaire afin de fixer le nouveau, le fait de demander les précédents salaires entraine de la discrimnation et peut avoir un impact sur toute la carrière d’une personne</w:t>
            </w:r>
          </w:p>
          <w:p w14:paraId="1942E067" w14:textId="77777777" w:rsidR="00501FF4" w:rsidRDefault="00501FF4" w:rsidP="00265679">
            <w:pPr>
              <w:pStyle w:val="Pardeliste"/>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le fait de divulguer son précédent salaire peut même empêcher d’avoir accès à un travail. </w:t>
            </w:r>
          </w:p>
          <w:p w14:paraId="35A79C5F" w14:textId="77777777" w:rsidR="00501FF4" w:rsidRDefault="00501FF4" w:rsidP="00265679">
            <w:pPr>
              <w:pStyle w:val="Par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Une des intervenantes cite l’exemple d’une femme qui passait un entretien d’embauche par téléphone. Les employeurs qui voulaient la recruter ayant mal raccroché, elle les a entendu dire qu’elle aurait été la candidate idéale jusqu’à ce qu’il découvre son salaire. Ils ont ensuite déduit qu’elle ne devait pas être si bonne que cela et ont refusé de l’embaucher</w:t>
            </w:r>
          </w:p>
          <w:p w14:paraId="7A26B0E4" w14:textId="77777777" w:rsidR="00501FF4" w:rsidRPr="005810B3" w:rsidRDefault="00501FF4" w:rsidP="00265679">
            <w:pPr>
              <w:pStyle w:val="Pardeliste"/>
              <w:spacing w:after="0" w:line="240" w:lineRule="auto"/>
              <w:jc w:val="both"/>
              <w:rPr>
                <w:rFonts w:ascii="Times New Roman" w:hAnsi="Times New Roman" w:cs="Times New Roman"/>
                <w:sz w:val="24"/>
                <w:szCs w:val="24"/>
              </w:rPr>
            </w:pPr>
          </w:p>
        </w:tc>
        <w:tc>
          <w:tcPr>
            <w:tcW w:w="908" w:type="dxa"/>
            <w:tcBorders>
              <w:top w:val="single" w:sz="4" w:space="0" w:color="067CA4"/>
              <w:left w:val="single" w:sz="8" w:space="0" w:color="E8509D"/>
              <w:bottom w:val="single" w:sz="4" w:space="0" w:color="067CA4"/>
            </w:tcBorders>
            <w:shd w:val="clear" w:color="auto" w:fill="D9D9D9"/>
          </w:tcPr>
          <w:p w14:paraId="395D0680" w14:textId="77777777" w:rsidR="00501FF4" w:rsidRDefault="00501FF4" w:rsidP="00265679">
            <w:pPr>
              <w:ind w:left="-64"/>
              <w:rPr>
                <w:b/>
                <w:color w:val="000000"/>
              </w:rPr>
            </w:pPr>
          </w:p>
          <w:p w14:paraId="40CF3717" w14:textId="77777777" w:rsidR="00501FF4" w:rsidRDefault="00501FF4" w:rsidP="00265679">
            <w:pPr>
              <w:ind w:left="-64"/>
              <w:rPr>
                <w:b/>
                <w:color w:val="000000"/>
              </w:rPr>
            </w:pPr>
          </w:p>
          <w:p w14:paraId="688137FB" w14:textId="77777777" w:rsidR="00501FF4" w:rsidRDefault="00501FF4" w:rsidP="00265679">
            <w:pPr>
              <w:ind w:left="-64"/>
              <w:rPr>
                <w:b/>
                <w:color w:val="000000"/>
              </w:rPr>
            </w:pPr>
          </w:p>
          <w:p w14:paraId="404D9517" w14:textId="77777777" w:rsidR="00501FF4" w:rsidRDefault="00501FF4" w:rsidP="00265679">
            <w:pPr>
              <w:ind w:left="-64"/>
              <w:rPr>
                <w:b/>
                <w:color w:val="000000"/>
              </w:rPr>
            </w:pPr>
          </w:p>
          <w:p w14:paraId="7B5D6553" w14:textId="77777777" w:rsidR="00501FF4" w:rsidRDefault="00501FF4" w:rsidP="00265679">
            <w:pPr>
              <w:ind w:left="-64"/>
              <w:rPr>
                <w:b/>
                <w:color w:val="000000"/>
              </w:rPr>
            </w:pPr>
          </w:p>
          <w:p w14:paraId="4905166A" w14:textId="77777777" w:rsidR="00501FF4" w:rsidRDefault="00501FF4" w:rsidP="00265679">
            <w:pPr>
              <w:ind w:left="-64"/>
              <w:rPr>
                <w:b/>
                <w:color w:val="000000"/>
              </w:rPr>
            </w:pPr>
          </w:p>
          <w:p w14:paraId="6339C4AF" w14:textId="77777777" w:rsidR="00501FF4" w:rsidRDefault="00501FF4" w:rsidP="00265679">
            <w:pPr>
              <w:ind w:left="-64"/>
              <w:rPr>
                <w:b/>
                <w:color w:val="000000"/>
              </w:rPr>
            </w:pPr>
          </w:p>
          <w:p w14:paraId="3A3B6828" w14:textId="77777777" w:rsidR="00501FF4" w:rsidRDefault="00501FF4" w:rsidP="00265679">
            <w:pPr>
              <w:ind w:left="-64"/>
              <w:rPr>
                <w:b/>
                <w:color w:val="000000"/>
              </w:rPr>
            </w:pPr>
          </w:p>
          <w:p w14:paraId="1417A6AB" w14:textId="77777777" w:rsidR="00501FF4" w:rsidRDefault="00501FF4" w:rsidP="00265679">
            <w:pPr>
              <w:ind w:left="-64"/>
              <w:rPr>
                <w:b/>
                <w:color w:val="000000"/>
              </w:rPr>
            </w:pPr>
          </w:p>
          <w:p w14:paraId="6A61A351" w14:textId="77777777" w:rsidR="00501FF4" w:rsidRPr="00DE1697" w:rsidRDefault="00501FF4" w:rsidP="00265679">
            <w:pPr>
              <w:ind w:left="-64"/>
              <w:rPr>
                <w:b/>
                <w:color w:val="000000"/>
              </w:rPr>
            </w:pPr>
            <w:r>
              <w:rPr>
                <w:b/>
                <w:color w:val="000000"/>
              </w:rPr>
              <w:t xml:space="preserve">     8</w:t>
            </w:r>
          </w:p>
        </w:tc>
      </w:tr>
      <w:tr w:rsidR="00501FF4" w:rsidRPr="00DE1697" w14:paraId="4409B250" w14:textId="77777777" w:rsidTr="00265679">
        <w:trPr>
          <w:trHeight w:val="57"/>
        </w:trPr>
        <w:tc>
          <w:tcPr>
            <w:tcW w:w="1134" w:type="dxa"/>
            <w:tcBorders>
              <w:top w:val="single" w:sz="4" w:space="0" w:color="067CA4"/>
              <w:bottom w:val="single" w:sz="8" w:space="0" w:color="E8509D"/>
              <w:right w:val="single" w:sz="4" w:space="0" w:color="E8509D"/>
            </w:tcBorders>
            <w:shd w:val="clear" w:color="auto" w:fill="DAEEF3"/>
            <w:vAlign w:val="center"/>
          </w:tcPr>
          <w:p w14:paraId="6744E67C" w14:textId="77777777" w:rsidR="00501FF4" w:rsidRPr="00DE1697" w:rsidRDefault="00501FF4" w:rsidP="00265679">
            <w:pPr>
              <w:jc w:val="center"/>
              <w:rPr>
                <w:b/>
              </w:rPr>
            </w:pPr>
            <w:r w:rsidRPr="00DE1697">
              <w:t>Éléments relevant du niveau</w:t>
            </w:r>
            <w:r w:rsidRPr="00DE1697">
              <w:rPr>
                <w:b/>
              </w:rPr>
              <w:t xml:space="preserve"> </w:t>
            </w:r>
          </w:p>
          <w:p w14:paraId="594B2040" w14:textId="77777777" w:rsidR="00501FF4" w:rsidRPr="00DE1697" w:rsidRDefault="00501FF4" w:rsidP="00265679">
            <w:pPr>
              <w:jc w:val="center"/>
              <w:rPr>
                <w:color w:val="000000"/>
              </w:rPr>
            </w:pPr>
            <w:r w:rsidRPr="00DE1697">
              <w:rPr>
                <w:b/>
              </w:rPr>
              <w:t>B2</w:t>
            </w:r>
          </w:p>
        </w:tc>
        <w:tc>
          <w:tcPr>
            <w:tcW w:w="7649" w:type="dxa"/>
            <w:tcBorders>
              <w:left w:val="single" w:sz="4" w:space="0" w:color="E8509D"/>
              <w:right w:val="single" w:sz="8" w:space="0" w:color="E8509D"/>
            </w:tcBorders>
            <w:vAlign w:val="center"/>
          </w:tcPr>
          <w:p w14:paraId="32212519" w14:textId="77777777" w:rsidR="00501FF4" w:rsidRDefault="00501FF4" w:rsidP="00265679">
            <w:pPr>
              <w:pStyle w:val="Pardeliste"/>
              <w:spacing w:after="0" w:line="240" w:lineRule="auto"/>
              <w:jc w:val="both"/>
              <w:rPr>
                <w:rFonts w:ascii="Times New Roman" w:eastAsia="Calibri" w:hAnsi="Times New Roman" w:cs="Times New Roman"/>
                <w:b/>
              </w:rPr>
            </w:pPr>
          </w:p>
          <w:p w14:paraId="3C98EE7F" w14:textId="77777777" w:rsidR="00501FF4" w:rsidRDefault="00501FF4" w:rsidP="00265679">
            <w:pPr>
              <w:pStyle w:val="Pardeliste"/>
              <w:spacing w:after="0" w:line="240" w:lineRule="auto"/>
              <w:ind w:left="284"/>
              <w:jc w:val="both"/>
              <w:rPr>
                <w:rFonts w:ascii="Times New Roman" w:hAnsi="Times New Roman" w:cs="Times New Roman"/>
                <w:sz w:val="24"/>
                <w:szCs w:val="24"/>
              </w:rPr>
            </w:pPr>
            <w:r w:rsidRPr="00DE1697">
              <w:rPr>
                <w:rFonts w:ascii="Times New Roman" w:hAnsi="Times New Roman" w:cs="Times New Roman"/>
                <w:b/>
              </w:rPr>
              <w:t>Repérage des points de détail / des éléments de compréhension plus fine</w:t>
            </w:r>
            <w:r w:rsidRPr="00DE1697">
              <w:rPr>
                <w:rFonts w:ascii="Times New Roman" w:hAnsi="Times New Roman" w:cs="Times New Roman"/>
              </w:rPr>
              <w:t> </w:t>
            </w:r>
            <w:r w:rsidRPr="00DE1697">
              <w:rPr>
                <w:rFonts w:ascii="Times New Roman" w:hAnsi="Times New Roman" w:cs="Times New Roman"/>
                <w:b/>
              </w:rPr>
              <w:t>:</w:t>
            </w:r>
            <w:r w:rsidRPr="00DE1697">
              <w:rPr>
                <w:rFonts w:ascii="Times New Roman" w:hAnsi="Times New Roman" w:cs="Times New Roman"/>
              </w:rPr>
              <w:t xml:space="preserve"> </w:t>
            </w:r>
            <w:r w:rsidRPr="00B77D8C">
              <w:rPr>
                <w:rFonts w:ascii="Times New Roman" w:hAnsi="Times New Roman" w:cs="Times New Roman"/>
                <w:sz w:val="24"/>
                <w:szCs w:val="24"/>
              </w:rPr>
              <w:t xml:space="preserve"> </w:t>
            </w:r>
          </w:p>
          <w:p w14:paraId="520263BD" w14:textId="77777777" w:rsidR="00501FF4" w:rsidRDefault="00501FF4" w:rsidP="00265679">
            <w:pPr>
              <w:pStyle w:val="Par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 but de cette loi est d’empêcher les femmes de tomber dans le cercle vicieux des bas salaires.</w:t>
            </w:r>
          </w:p>
          <w:p w14:paraId="40B92F30" w14:textId="77777777" w:rsidR="00501FF4" w:rsidRDefault="00501FF4" w:rsidP="00265679">
            <w:pPr>
              <w:pStyle w:val="Par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Victoria Budson dirige le Programme des Politique Publique pour les Femmes à Harvard et elle a joué un rôle actif dans le passage de la loi</w:t>
            </w:r>
          </w:p>
          <w:p w14:paraId="1B542300" w14:textId="77777777" w:rsidR="00501FF4" w:rsidRDefault="00501FF4" w:rsidP="00265679">
            <w:pPr>
              <w:pStyle w:val="Par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Cette loi est très importante dans le mouvement pour l’équité salariale car si l’on est sous payé lorsque l’on obtient ces premiers emplois à la sortie de l’université ou du lycée, cela entraine une effet « boule de neige », les salaires suivants découlant du premier</w:t>
            </w:r>
          </w:p>
          <w:p w14:paraId="05CF7352" w14:textId="77777777" w:rsidR="00501FF4" w:rsidRDefault="00501FF4" w:rsidP="00265679">
            <w:pPr>
              <w:pStyle w:val="Par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 principal soutient de cette loi est une sénatrice démocrate nommée</w:t>
            </w:r>
          </w:p>
          <w:p w14:paraId="0287CCBC" w14:textId="77777777" w:rsidR="00501FF4" w:rsidRDefault="00501FF4" w:rsidP="00265679">
            <w:pPr>
              <w:pStyle w:val="Pardeliste"/>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Pat Jehlen </w:t>
            </w:r>
          </w:p>
          <w:p w14:paraId="2EC607C3" w14:textId="77777777" w:rsidR="00501FF4" w:rsidRPr="008C7EF4" w:rsidRDefault="00501FF4" w:rsidP="00265679">
            <w:pPr>
              <w:jc w:val="both"/>
            </w:pPr>
          </w:p>
          <w:p w14:paraId="7E2497E9" w14:textId="77777777" w:rsidR="00501FF4" w:rsidRPr="008C7EF4" w:rsidRDefault="00501FF4" w:rsidP="00265679">
            <w:pPr>
              <w:jc w:val="both"/>
              <w:rPr>
                <w:u w:val="single"/>
              </w:rPr>
            </w:pPr>
            <w:r w:rsidRPr="008C7EF4">
              <w:rPr>
                <w:u w:val="single"/>
              </w:rPr>
              <w:t xml:space="preserve">Implicite : </w:t>
            </w:r>
          </w:p>
          <w:p w14:paraId="5CE4AED8" w14:textId="77777777" w:rsidR="00501FF4" w:rsidRPr="008C7EF4" w:rsidRDefault="00501FF4" w:rsidP="00265679">
            <w:pPr>
              <w:jc w:val="both"/>
            </w:pPr>
            <w:r>
              <w:t xml:space="preserve">Cela veut dire que les femmes sont moins bien payés dès leurs premiers emplois. </w:t>
            </w:r>
          </w:p>
        </w:tc>
        <w:tc>
          <w:tcPr>
            <w:tcW w:w="908" w:type="dxa"/>
            <w:tcBorders>
              <w:top w:val="single" w:sz="4" w:space="0" w:color="067CA4"/>
              <w:left w:val="single" w:sz="8" w:space="0" w:color="E8509D"/>
              <w:bottom w:val="single" w:sz="8" w:space="0" w:color="E8509D"/>
            </w:tcBorders>
            <w:shd w:val="clear" w:color="auto" w:fill="D9D9D9"/>
          </w:tcPr>
          <w:p w14:paraId="4C146F35" w14:textId="77777777" w:rsidR="00501FF4" w:rsidRDefault="00501FF4" w:rsidP="00265679">
            <w:pPr>
              <w:ind w:left="-64"/>
              <w:rPr>
                <w:color w:val="000000"/>
              </w:rPr>
            </w:pPr>
          </w:p>
          <w:p w14:paraId="46FB1CD2" w14:textId="77777777" w:rsidR="00501FF4" w:rsidRDefault="00501FF4" w:rsidP="00265679">
            <w:pPr>
              <w:ind w:left="-64"/>
              <w:rPr>
                <w:color w:val="000000"/>
              </w:rPr>
            </w:pPr>
          </w:p>
          <w:p w14:paraId="2A8D7297" w14:textId="77777777" w:rsidR="00501FF4" w:rsidRDefault="00501FF4" w:rsidP="00265679">
            <w:pPr>
              <w:ind w:left="-64"/>
              <w:rPr>
                <w:color w:val="000000"/>
              </w:rPr>
            </w:pPr>
          </w:p>
          <w:p w14:paraId="0F71DD94" w14:textId="77777777" w:rsidR="00501FF4" w:rsidRDefault="00501FF4" w:rsidP="00265679">
            <w:pPr>
              <w:ind w:left="-64"/>
              <w:rPr>
                <w:color w:val="000000"/>
              </w:rPr>
            </w:pPr>
          </w:p>
          <w:p w14:paraId="1E4E3EA0" w14:textId="77777777" w:rsidR="00501FF4" w:rsidRDefault="00501FF4" w:rsidP="00265679">
            <w:pPr>
              <w:ind w:left="-64"/>
              <w:rPr>
                <w:color w:val="000000"/>
              </w:rPr>
            </w:pPr>
          </w:p>
          <w:p w14:paraId="3AC53B05" w14:textId="77777777" w:rsidR="00501FF4" w:rsidRDefault="00501FF4" w:rsidP="00265679">
            <w:pPr>
              <w:ind w:left="-64"/>
              <w:rPr>
                <w:color w:val="000000"/>
              </w:rPr>
            </w:pPr>
          </w:p>
          <w:p w14:paraId="3B75FFD1" w14:textId="77777777" w:rsidR="00501FF4" w:rsidRDefault="00501FF4" w:rsidP="00265679">
            <w:pPr>
              <w:ind w:left="-64"/>
              <w:rPr>
                <w:color w:val="000000"/>
              </w:rPr>
            </w:pPr>
          </w:p>
          <w:p w14:paraId="38E3B5F7" w14:textId="77777777" w:rsidR="00501FF4" w:rsidRDefault="00501FF4" w:rsidP="00265679">
            <w:pPr>
              <w:ind w:left="-64"/>
              <w:rPr>
                <w:color w:val="000000"/>
              </w:rPr>
            </w:pPr>
          </w:p>
          <w:p w14:paraId="12C891AF" w14:textId="77777777" w:rsidR="00501FF4" w:rsidRDefault="00501FF4" w:rsidP="00265679">
            <w:pPr>
              <w:ind w:left="-64"/>
              <w:rPr>
                <w:color w:val="000000"/>
              </w:rPr>
            </w:pPr>
          </w:p>
          <w:p w14:paraId="3389AEF5" w14:textId="77777777" w:rsidR="00501FF4" w:rsidRPr="00E62DE0" w:rsidRDefault="00501FF4" w:rsidP="00265679">
            <w:pPr>
              <w:ind w:left="-64"/>
              <w:rPr>
                <w:b/>
                <w:color w:val="000000"/>
              </w:rPr>
            </w:pPr>
            <w:r>
              <w:rPr>
                <w:color w:val="000000"/>
              </w:rPr>
              <w:t xml:space="preserve">    </w:t>
            </w:r>
            <w:r w:rsidRPr="00E62DE0">
              <w:rPr>
                <w:b/>
                <w:color w:val="000000"/>
              </w:rPr>
              <w:t>10</w:t>
            </w:r>
          </w:p>
        </w:tc>
      </w:tr>
    </w:tbl>
    <w:p w14:paraId="430A8193" w14:textId="77777777" w:rsidR="00501FF4" w:rsidRDefault="00501FF4" w:rsidP="00501FF4"/>
    <w:p w14:paraId="0519CE6E" w14:textId="77777777" w:rsidR="00501FF4" w:rsidRDefault="00501FF4" w:rsidP="00501FF4"/>
    <w:p w14:paraId="4A110643" w14:textId="77777777" w:rsidR="00E65B57" w:rsidRDefault="00501FF4">
      <w:bookmarkStart w:id="0" w:name="_GoBack"/>
      <w:bookmarkEnd w:id="0"/>
    </w:p>
    <w:sectPr w:rsidR="00E65B57" w:rsidSect="00D4342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1377F"/>
    <w:multiLevelType w:val="hybridMultilevel"/>
    <w:tmpl w:val="FFF2A23E"/>
    <w:lvl w:ilvl="0" w:tplc="625E3C7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F4"/>
    <w:rsid w:val="00501FF4"/>
    <w:rsid w:val="00B173B1"/>
    <w:rsid w:val="00D434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BEF48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FF4"/>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1FF4"/>
    <w:rPr>
      <w:color w:val="0563C1" w:themeColor="hyperlink"/>
      <w:u w:val="single"/>
    </w:rPr>
  </w:style>
  <w:style w:type="paragraph" w:styleId="Normalweb">
    <w:name w:val="Normal (Web)"/>
    <w:basedOn w:val="Normal"/>
    <w:uiPriority w:val="99"/>
    <w:semiHidden/>
    <w:unhideWhenUsed/>
    <w:rsid w:val="00501FF4"/>
    <w:pPr>
      <w:spacing w:before="100" w:beforeAutospacing="1" w:after="100" w:afterAutospacing="1"/>
    </w:pPr>
  </w:style>
  <w:style w:type="paragraph" w:styleId="Pardeliste">
    <w:name w:val="List Paragraph"/>
    <w:basedOn w:val="Normal"/>
    <w:uiPriority w:val="34"/>
    <w:qFormat/>
    <w:rsid w:val="00501FF4"/>
    <w:pPr>
      <w:spacing w:after="200" w:line="276" w:lineRule="auto"/>
      <w:ind w:left="720"/>
      <w:contextualSpacing/>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pr.org/2016/08/04/488708567/massachusetts-joins-state-led-efforts-on-equal-pay-for-wome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731</Words>
  <Characters>4021</Characters>
  <Application>Microsoft Macintosh Word</Application>
  <DocSecurity>0</DocSecurity>
  <Lines>33</Lines>
  <Paragraphs>9</Paragraphs>
  <ScaleCrop>false</ScaleCrop>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2017-03-20T21:27:00Z</dcterms:created>
  <dcterms:modified xsi:type="dcterms:W3CDTF">2017-03-20T21:28:00Z</dcterms:modified>
</cp:coreProperties>
</file>